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8AC0" w14:textId="77777777" w:rsidR="00702E65" w:rsidRPr="006849EE" w:rsidRDefault="00702E65" w:rsidP="00702E65">
      <w:pPr>
        <w:spacing w:line="360" w:lineRule="auto"/>
        <w:jc w:val="center"/>
        <w:rPr>
          <w:rFonts w:asciiTheme="majorHAnsi" w:hAnsiTheme="majorHAnsi" w:cs="Arial"/>
          <w:b/>
          <w:bCs/>
          <w:color w:val="auto"/>
          <w:sz w:val="24"/>
          <w:szCs w:val="24"/>
          <w:u w:val="single"/>
        </w:rPr>
      </w:pPr>
      <w:r w:rsidRPr="006849EE">
        <w:rPr>
          <w:rFonts w:asciiTheme="majorHAnsi" w:hAnsiTheme="majorHAnsi" w:cs="Arial"/>
          <w:b/>
          <w:bCs/>
          <w:color w:val="auto"/>
          <w:sz w:val="24"/>
          <w:szCs w:val="24"/>
          <w:u w:val="single"/>
        </w:rPr>
        <w:t>BEFORE THE HONOURABLE JHARKHAND STATE ELECTRICITY REGULATORY COMMISSION</w:t>
      </w:r>
    </w:p>
    <w:p w14:paraId="1506E868" w14:textId="235845C9" w:rsidR="00702E65" w:rsidRPr="006849EE" w:rsidRDefault="00702E65" w:rsidP="00702E65">
      <w:pPr>
        <w:ind w:left="5040" w:firstLine="720"/>
        <w:jc w:val="center"/>
        <w:rPr>
          <w:rFonts w:asciiTheme="majorHAnsi" w:hAnsiTheme="majorHAnsi" w:cs="Arial"/>
          <w:color w:val="auto"/>
          <w:sz w:val="24"/>
          <w:szCs w:val="24"/>
        </w:rPr>
      </w:pPr>
      <w:r w:rsidRPr="006849EE">
        <w:rPr>
          <w:rFonts w:asciiTheme="majorHAnsi" w:hAnsiTheme="majorHAnsi" w:cs="Arial"/>
          <w:color w:val="auto"/>
          <w:sz w:val="24"/>
          <w:szCs w:val="24"/>
        </w:rPr>
        <w:t>File No.:</w:t>
      </w:r>
    </w:p>
    <w:p w14:paraId="450E8C89" w14:textId="77777777" w:rsidR="00702E65" w:rsidRPr="006849EE" w:rsidRDefault="00702E65" w:rsidP="00702E65">
      <w:pPr>
        <w:ind w:left="5040" w:firstLine="720"/>
        <w:jc w:val="center"/>
        <w:rPr>
          <w:rFonts w:asciiTheme="majorHAnsi" w:hAnsiTheme="majorHAnsi" w:cs="Arial"/>
          <w:color w:val="auto"/>
          <w:sz w:val="24"/>
          <w:szCs w:val="24"/>
        </w:rPr>
      </w:pPr>
      <w:r w:rsidRPr="006849EE">
        <w:rPr>
          <w:rFonts w:asciiTheme="majorHAnsi" w:hAnsiTheme="majorHAnsi" w:cs="Arial"/>
          <w:color w:val="auto"/>
          <w:sz w:val="24"/>
          <w:szCs w:val="24"/>
        </w:rPr>
        <w:t>Case No.:</w:t>
      </w:r>
    </w:p>
    <w:p w14:paraId="5A324ACB" w14:textId="77777777" w:rsidR="00702E65" w:rsidRPr="006849EE" w:rsidRDefault="00702E65" w:rsidP="00702E65">
      <w:pPr>
        <w:ind w:left="5040" w:firstLine="720"/>
        <w:jc w:val="center"/>
        <w:rPr>
          <w:rFonts w:asciiTheme="majorHAnsi" w:hAnsiTheme="majorHAnsi" w:cs="Arial"/>
          <w:color w:val="auto"/>
          <w:sz w:val="24"/>
          <w:szCs w:val="24"/>
        </w:rPr>
      </w:pPr>
    </w:p>
    <w:p w14:paraId="566C4495" w14:textId="49E87D6A" w:rsidR="000305B0" w:rsidRPr="006849EE" w:rsidRDefault="00702E65" w:rsidP="000305B0">
      <w:pPr>
        <w:ind w:left="2880" w:hanging="2880"/>
        <w:jc w:val="both"/>
        <w:rPr>
          <w:rFonts w:asciiTheme="majorHAnsi" w:hAnsiTheme="majorHAnsi" w:cs="Arial"/>
          <w:color w:val="auto"/>
          <w:sz w:val="24"/>
          <w:szCs w:val="24"/>
        </w:rPr>
      </w:pPr>
      <w:r w:rsidRPr="006849EE">
        <w:rPr>
          <w:rFonts w:asciiTheme="majorHAnsi" w:hAnsiTheme="majorHAnsi" w:cs="Arial"/>
          <w:b/>
          <w:color w:val="auto"/>
          <w:sz w:val="24"/>
          <w:szCs w:val="24"/>
        </w:rPr>
        <w:t>IN THE MATTER OF</w:t>
      </w:r>
      <w:proofErr w:type="gramStart"/>
      <w:r w:rsidRPr="006849EE">
        <w:rPr>
          <w:rFonts w:asciiTheme="majorHAnsi" w:hAnsiTheme="majorHAnsi" w:cs="Arial"/>
          <w:b/>
          <w:color w:val="auto"/>
          <w:sz w:val="24"/>
          <w:szCs w:val="24"/>
        </w:rPr>
        <w:t>:</w:t>
      </w:r>
      <w:r w:rsidRPr="006849EE">
        <w:rPr>
          <w:rFonts w:asciiTheme="majorHAnsi" w:hAnsiTheme="majorHAnsi" w:cs="Arial"/>
          <w:color w:val="auto"/>
          <w:sz w:val="24"/>
          <w:szCs w:val="24"/>
        </w:rPr>
        <w:t xml:space="preserve">    </w:t>
      </w:r>
      <w:r w:rsidRPr="006849EE">
        <w:rPr>
          <w:rFonts w:asciiTheme="majorHAnsi" w:hAnsiTheme="majorHAnsi" w:cs="Arial"/>
          <w:color w:val="auto"/>
          <w:sz w:val="24"/>
          <w:szCs w:val="24"/>
        </w:rPr>
        <w:tab/>
      </w:r>
      <w:r w:rsidR="000305B0" w:rsidRPr="006849EE">
        <w:rPr>
          <w:rFonts w:asciiTheme="majorHAnsi" w:hAnsiTheme="majorHAnsi" w:cs="Arial"/>
          <w:color w:val="auto"/>
          <w:sz w:val="24"/>
          <w:szCs w:val="24"/>
        </w:rPr>
        <w:t>PETITION</w:t>
      </w:r>
      <w:proofErr w:type="gramEnd"/>
      <w:r w:rsidR="000305B0" w:rsidRPr="006849EE">
        <w:rPr>
          <w:rFonts w:asciiTheme="majorHAnsi" w:hAnsiTheme="majorHAnsi" w:cs="Arial"/>
          <w:color w:val="auto"/>
          <w:sz w:val="24"/>
          <w:szCs w:val="24"/>
        </w:rPr>
        <w:t xml:space="preserve"> FOR DETERMINATION OF AGGREGATE REVENUE REQUIREMENT (ARR) FOR FY 202</w:t>
      </w:r>
      <w:r w:rsidR="00881BCE" w:rsidRPr="006849EE">
        <w:rPr>
          <w:rFonts w:asciiTheme="majorHAnsi" w:hAnsiTheme="majorHAnsi" w:cs="Arial"/>
          <w:color w:val="auto"/>
          <w:sz w:val="24"/>
          <w:szCs w:val="24"/>
        </w:rPr>
        <w:t>6-27</w:t>
      </w:r>
      <w:r w:rsidR="000305B0" w:rsidRPr="006849EE">
        <w:rPr>
          <w:rFonts w:asciiTheme="majorHAnsi" w:hAnsiTheme="majorHAnsi" w:cs="Arial"/>
          <w:color w:val="auto"/>
          <w:sz w:val="24"/>
          <w:szCs w:val="24"/>
        </w:rPr>
        <w:t xml:space="preserve"> TO 20</w:t>
      </w:r>
      <w:r w:rsidR="00881BCE" w:rsidRPr="006849EE">
        <w:rPr>
          <w:rFonts w:asciiTheme="majorHAnsi" w:hAnsiTheme="majorHAnsi" w:cs="Arial"/>
          <w:color w:val="auto"/>
          <w:sz w:val="24"/>
          <w:szCs w:val="24"/>
        </w:rPr>
        <w:t>30</w:t>
      </w:r>
      <w:r w:rsidR="000305B0" w:rsidRPr="006849EE">
        <w:rPr>
          <w:rFonts w:asciiTheme="majorHAnsi" w:hAnsiTheme="majorHAnsi" w:cs="Arial"/>
          <w:color w:val="auto"/>
          <w:sz w:val="24"/>
          <w:szCs w:val="24"/>
        </w:rPr>
        <w:t>-</w:t>
      </w:r>
      <w:r w:rsidR="00881BCE" w:rsidRPr="006849EE">
        <w:rPr>
          <w:rFonts w:asciiTheme="majorHAnsi" w:hAnsiTheme="majorHAnsi" w:cs="Arial"/>
          <w:color w:val="auto"/>
          <w:sz w:val="24"/>
          <w:szCs w:val="24"/>
        </w:rPr>
        <w:t>31</w:t>
      </w:r>
      <w:r w:rsidR="000305B0" w:rsidRPr="006849EE">
        <w:rPr>
          <w:rFonts w:asciiTheme="majorHAnsi" w:hAnsiTheme="majorHAnsi" w:cs="Arial"/>
          <w:color w:val="auto"/>
          <w:sz w:val="24"/>
          <w:szCs w:val="24"/>
        </w:rPr>
        <w:t xml:space="preserve"> AND </w:t>
      </w:r>
      <w:r w:rsidR="00276471" w:rsidRPr="006849EE">
        <w:rPr>
          <w:rFonts w:asciiTheme="majorHAnsi" w:hAnsiTheme="majorHAnsi" w:cs="Arial"/>
          <w:color w:val="auto"/>
          <w:sz w:val="24"/>
          <w:szCs w:val="24"/>
        </w:rPr>
        <w:t>DETERMINATION OF</w:t>
      </w:r>
      <w:r w:rsidR="000305B0" w:rsidRPr="006849EE">
        <w:rPr>
          <w:rFonts w:asciiTheme="majorHAnsi" w:hAnsiTheme="majorHAnsi" w:cs="Arial"/>
          <w:color w:val="auto"/>
          <w:sz w:val="24"/>
          <w:szCs w:val="24"/>
        </w:rPr>
        <w:t xml:space="preserve"> TARIFF FOR FY 20</w:t>
      </w:r>
      <w:r w:rsidR="00881BCE" w:rsidRPr="006849EE">
        <w:rPr>
          <w:rFonts w:asciiTheme="majorHAnsi" w:hAnsiTheme="majorHAnsi" w:cs="Arial"/>
          <w:color w:val="auto"/>
          <w:sz w:val="24"/>
          <w:szCs w:val="24"/>
        </w:rPr>
        <w:t>26-27</w:t>
      </w:r>
      <w:r w:rsidR="000305B0" w:rsidRPr="006849EE">
        <w:rPr>
          <w:rFonts w:asciiTheme="majorHAnsi" w:hAnsiTheme="majorHAnsi" w:cs="Arial"/>
          <w:color w:val="auto"/>
          <w:sz w:val="24"/>
          <w:szCs w:val="24"/>
        </w:rPr>
        <w:t xml:space="preserve"> FOR DISTRIBUTION AND RETAIL SUPPLY OF ELECTRICITY FOR THE PART OF THE DAMODAR VALLEY AREA FALLING WITHIN THE TERRITORY OF THE STATE OF JHARKHAND</w:t>
      </w:r>
      <w:r w:rsidR="000305B0" w:rsidRPr="006849EE">
        <w:rPr>
          <w:rFonts w:asciiTheme="majorHAnsi" w:hAnsiTheme="majorHAnsi" w:cs="Arial"/>
          <w:color w:val="000000" w:themeColor="text1"/>
          <w:sz w:val="24"/>
          <w:szCs w:val="24"/>
        </w:rPr>
        <w:t>.</w:t>
      </w:r>
    </w:p>
    <w:p w14:paraId="128FE51E" w14:textId="77777777" w:rsidR="00702E65" w:rsidRPr="006849EE" w:rsidRDefault="00702E65" w:rsidP="00702E65">
      <w:pPr>
        <w:ind w:left="2880" w:hanging="2880"/>
        <w:jc w:val="both"/>
        <w:rPr>
          <w:rFonts w:asciiTheme="majorHAnsi" w:hAnsiTheme="majorHAnsi" w:cs="Arial"/>
          <w:color w:val="auto"/>
          <w:sz w:val="24"/>
          <w:szCs w:val="24"/>
        </w:rPr>
      </w:pPr>
    </w:p>
    <w:p w14:paraId="35557356" w14:textId="77777777" w:rsidR="00702E65" w:rsidRPr="006849EE" w:rsidRDefault="00702E65" w:rsidP="00702E65">
      <w:pPr>
        <w:ind w:left="2880" w:hanging="2880"/>
        <w:jc w:val="both"/>
        <w:rPr>
          <w:rFonts w:asciiTheme="majorHAnsi" w:hAnsiTheme="majorHAnsi" w:cs="Arial"/>
          <w:b/>
          <w:color w:val="auto"/>
          <w:sz w:val="24"/>
          <w:szCs w:val="24"/>
        </w:rPr>
      </w:pPr>
      <w:r w:rsidRPr="006849EE">
        <w:rPr>
          <w:rFonts w:asciiTheme="majorHAnsi" w:hAnsiTheme="majorHAnsi" w:cs="Arial"/>
          <w:b/>
          <w:color w:val="auto"/>
          <w:sz w:val="24"/>
          <w:szCs w:val="24"/>
        </w:rPr>
        <w:t xml:space="preserve">AND </w:t>
      </w:r>
    </w:p>
    <w:p w14:paraId="2A367001" w14:textId="77777777" w:rsidR="00702E65" w:rsidRPr="006849EE" w:rsidRDefault="00702E65" w:rsidP="00702E65">
      <w:pPr>
        <w:ind w:left="2880" w:hanging="2880"/>
        <w:jc w:val="both"/>
        <w:rPr>
          <w:rFonts w:asciiTheme="majorHAnsi" w:hAnsiTheme="majorHAnsi" w:cs="Arial"/>
          <w:b/>
          <w:color w:val="auto"/>
          <w:sz w:val="24"/>
          <w:szCs w:val="24"/>
        </w:rPr>
      </w:pPr>
    </w:p>
    <w:p w14:paraId="05738DF7" w14:textId="77777777" w:rsidR="00702E65" w:rsidRPr="006849EE" w:rsidRDefault="00702E65" w:rsidP="00702E65">
      <w:pPr>
        <w:ind w:left="2880" w:hanging="2880"/>
        <w:jc w:val="both"/>
        <w:rPr>
          <w:rFonts w:asciiTheme="majorHAnsi" w:hAnsiTheme="majorHAnsi" w:cs="Arial"/>
          <w:b/>
          <w:color w:val="auto"/>
          <w:sz w:val="24"/>
          <w:szCs w:val="24"/>
          <w:lang w:val="en-IN"/>
        </w:rPr>
      </w:pPr>
      <w:r w:rsidRPr="006849EE">
        <w:rPr>
          <w:rFonts w:asciiTheme="majorHAnsi" w:hAnsiTheme="majorHAnsi" w:cs="Arial"/>
          <w:b/>
          <w:color w:val="auto"/>
          <w:sz w:val="24"/>
          <w:szCs w:val="24"/>
        </w:rPr>
        <w:t>IN THE MATTER OF:</w:t>
      </w:r>
    </w:p>
    <w:p w14:paraId="3D19E7AA" w14:textId="77777777" w:rsidR="00702E65" w:rsidRPr="006849EE" w:rsidRDefault="00702E65" w:rsidP="00702E65">
      <w:pPr>
        <w:ind w:left="2880" w:hanging="2880"/>
        <w:jc w:val="both"/>
        <w:rPr>
          <w:rFonts w:asciiTheme="majorHAnsi" w:hAnsiTheme="majorHAnsi" w:cs="Arial"/>
          <w:b/>
          <w:color w:val="auto"/>
          <w:sz w:val="24"/>
          <w:szCs w:val="24"/>
        </w:rPr>
      </w:pPr>
    </w:p>
    <w:p w14:paraId="25D941AC" w14:textId="77777777" w:rsidR="00702E65" w:rsidRPr="006849EE" w:rsidRDefault="00702E65" w:rsidP="00702E65">
      <w:pPr>
        <w:ind w:left="2880" w:hanging="2880"/>
        <w:jc w:val="both"/>
        <w:rPr>
          <w:rFonts w:asciiTheme="majorHAnsi" w:hAnsiTheme="majorHAnsi" w:cs="Arial"/>
          <w:color w:val="auto"/>
          <w:sz w:val="24"/>
          <w:szCs w:val="24"/>
        </w:rPr>
      </w:pPr>
      <w:r w:rsidRPr="006849EE">
        <w:rPr>
          <w:rFonts w:asciiTheme="majorHAnsi" w:hAnsiTheme="majorHAnsi" w:cs="Arial"/>
          <w:color w:val="auto"/>
          <w:sz w:val="24"/>
          <w:szCs w:val="24"/>
        </w:rPr>
        <w:t>Damodar Valley Corporation</w:t>
      </w:r>
    </w:p>
    <w:p w14:paraId="1AB91FF4" w14:textId="77777777" w:rsidR="00702E65" w:rsidRPr="006849EE" w:rsidRDefault="00702E65" w:rsidP="00702E65">
      <w:pPr>
        <w:ind w:left="2880" w:hanging="2880"/>
        <w:jc w:val="both"/>
        <w:rPr>
          <w:rFonts w:asciiTheme="majorHAnsi" w:hAnsiTheme="majorHAnsi" w:cs="Arial"/>
          <w:color w:val="auto"/>
          <w:sz w:val="24"/>
          <w:szCs w:val="24"/>
        </w:rPr>
      </w:pPr>
      <w:r w:rsidRPr="006849EE">
        <w:rPr>
          <w:rFonts w:asciiTheme="majorHAnsi" w:hAnsiTheme="majorHAnsi" w:cs="Arial"/>
          <w:color w:val="auto"/>
          <w:sz w:val="24"/>
          <w:szCs w:val="24"/>
        </w:rPr>
        <w:t>DVC Tower, VIP Road,</w:t>
      </w:r>
    </w:p>
    <w:p w14:paraId="4B0B9D85" w14:textId="77777777" w:rsidR="00702E65" w:rsidRPr="006849EE" w:rsidRDefault="00702E65" w:rsidP="00702E65">
      <w:pPr>
        <w:ind w:left="2880" w:hanging="2880"/>
        <w:jc w:val="both"/>
        <w:rPr>
          <w:rFonts w:asciiTheme="majorHAnsi" w:hAnsiTheme="majorHAnsi" w:cs="Arial"/>
          <w:color w:val="auto"/>
          <w:sz w:val="24"/>
          <w:szCs w:val="24"/>
        </w:rPr>
      </w:pPr>
      <w:r w:rsidRPr="006849EE">
        <w:rPr>
          <w:rFonts w:asciiTheme="majorHAnsi" w:hAnsiTheme="majorHAnsi" w:cs="Arial"/>
          <w:color w:val="auto"/>
          <w:sz w:val="24"/>
          <w:szCs w:val="24"/>
        </w:rPr>
        <w:t>Kolkata-</w:t>
      </w:r>
      <w:r w:rsidRPr="006849EE">
        <w:rPr>
          <w:rFonts w:asciiTheme="majorHAnsi" w:hAnsiTheme="majorHAnsi" w:cs="Arial"/>
          <w:color w:val="auto"/>
          <w:sz w:val="24"/>
          <w:szCs w:val="24"/>
        </w:rPr>
        <w:tab/>
      </w:r>
      <w:r w:rsidRPr="006849EE">
        <w:rPr>
          <w:rFonts w:asciiTheme="majorHAnsi" w:hAnsiTheme="majorHAnsi" w:cs="Arial"/>
          <w:color w:val="auto"/>
          <w:sz w:val="24"/>
          <w:szCs w:val="24"/>
        </w:rPr>
        <w:tab/>
      </w:r>
      <w:r w:rsidRPr="006849EE">
        <w:rPr>
          <w:rFonts w:asciiTheme="majorHAnsi" w:hAnsiTheme="majorHAnsi" w:cs="Arial"/>
          <w:color w:val="auto"/>
          <w:sz w:val="24"/>
          <w:szCs w:val="24"/>
        </w:rPr>
        <w:tab/>
      </w:r>
      <w:r w:rsidRPr="006849EE">
        <w:rPr>
          <w:rFonts w:asciiTheme="majorHAnsi" w:hAnsiTheme="majorHAnsi" w:cs="Arial"/>
          <w:color w:val="auto"/>
          <w:sz w:val="24"/>
          <w:szCs w:val="24"/>
        </w:rPr>
        <w:tab/>
      </w:r>
      <w:r w:rsidRPr="006849EE">
        <w:rPr>
          <w:rFonts w:asciiTheme="majorHAnsi" w:hAnsiTheme="majorHAnsi" w:cs="Arial"/>
          <w:color w:val="auto"/>
          <w:sz w:val="24"/>
          <w:szCs w:val="24"/>
        </w:rPr>
        <w:tab/>
      </w:r>
      <w:r w:rsidRPr="006849EE">
        <w:rPr>
          <w:rFonts w:asciiTheme="majorHAnsi" w:hAnsiTheme="majorHAnsi" w:cs="Arial"/>
          <w:color w:val="auto"/>
          <w:sz w:val="24"/>
          <w:szCs w:val="24"/>
        </w:rPr>
        <w:tab/>
        <w:t>-</w:t>
      </w:r>
      <w:r w:rsidRPr="006849EE">
        <w:rPr>
          <w:rFonts w:asciiTheme="majorHAnsi" w:hAnsiTheme="majorHAnsi" w:cs="Arial"/>
          <w:color w:val="auto"/>
          <w:sz w:val="24"/>
          <w:szCs w:val="24"/>
        </w:rPr>
        <w:tab/>
        <w:t>Petitioner</w:t>
      </w:r>
    </w:p>
    <w:p w14:paraId="17A6D4E8" w14:textId="77777777" w:rsidR="000F1FF8" w:rsidRPr="006849EE" w:rsidRDefault="000F1FF8" w:rsidP="00702E65">
      <w:pPr>
        <w:ind w:left="2880" w:hanging="2880"/>
        <w:jc w:val="both"/>
        <w:rPr>
          <w:rFonts w:asciiTheme="majorHAnsi" w:hAnsiTheme="majorHAnsi" w:cs="Arial"/>
          <w:color w:val="auto"/>
          <w:sz w:val="24"/>
          <w:szCs w:val="24"/>
        </w:rPr>
      </w:pPr>
    </w:p>
    <w:p w14:paraId="764276BC" w14:textId="77777777" w:rsidR="00702E65" w:rsidRPr="006849EE" w:rsidRDefault="00702E65" w:rsidP="00702E65">
      <w:pPr>
        <w:ind w:left="2880" w:hanging="2880"/>
        <w:jc w:val="both"/>
        <w:rPr>
          <w:rFonts w:asciiTheme="majorHAnsi" w:hAnsiTheme="majorHAnsi" w:cs="Arial"/>
          <w:color w:val="auto"/>
          <w:sz w:val="24"/>
          <w:szCs w:val="24"/>
        </w:rPr>
      </w:pPr>
    </w:p>
    <w:p w14:paraId="6ED1FBD0" w14:textId="77777777" w:rsidR="00702E65" w:rsidRPr="006849EE" w:rsidRDefault="00702E65" w:rsidP="00702E65">
      <w:pPr>
        <w:ind w:left="2880" w:hanging="2880"/>
        <w:jc w:val="both"/>
        <w:rPr>
          <w:rFonts w:asciiTheme="majorHAnsi" w:hAnsiTheme="majorHAnsi" w:cs="Arial"/>
          <w:color w:val="auto"/>
          <w:sz w:val="24"/>
          <w:szCs w:val="24"/>
        </w:rPr>
      </w:pPr>
    </w:p>
    <w:p w14:paraId="08B63B99" w14:textId="77777777" w:rsidR="001521CB" w:rsidRPr="006849EE" w:rsidRDefault="001521CB" w:rsidP="001521CB">
      <w:pPr>
        <w:spacing w:line="360" w:lineRule="auto"/>
        <w:jc w:val="both"/>
        <w:rPr>
          <w:rFonts w:asciiTheme="majorHAnsi" w:hAnsiTheme="majorHAnsi" w:cs="Arial"/>
          <w:b/>
          <w:color w:val="auto"/>
          <w:sz w:val="24"/>
          <w:szCs w:val="24"/>
          <w:u w:val="single"/>
        </w:rPr>
      </w:pPr>
      <w:r w:rsidRPr="006849EE">
        <w:rPr>
          <w:rFonts w:asciiTheme="majorHAnsi" w:hAnsiTheme="majorHAnsi" w:cs="Arial"/>
          <w:b/>
          <w:color w:val="auto"/>
          <w:sz w:val="24"/>
          <w:szCs w:val="24"/>
          <w:u w:val="single"/>
        </w:rPr>
        <w:t>PETITION UNDER SECTIONS 62, 64 AND 86 OF THE ELECTRICITY ACT, 2003 READ WITH THE APPLICABLE PROVISIONS OF THE DAMODAR VALLEY CORPORATION ACT, 1948 AND RELEVANT REGULATIONS OF THIS HON’BLE COMMISSION</w:t>
      </w:r>
      <w:r w:rsidR="00343EB5" w:rsidRPr="006849EE">
        <w:rPr>
          <w:rFonts w:asciiTheme="majorHAnsi" w:hAnsiTheme="majorHAnsi" w:cs="Arial"/>
          <w:b/>
          <w:color w:val="auto"/>
          <w:sz w:val="24"/>
          <w:szCs w:val="24"/>
          <w:u w:val="single"/>
        </w:rPr>
        <w:t xml:space="preserve"> AND THE CENTRAL ELECTRICITY REGULATORY COMMISSION.</w:t>
      </w:r>
    </w:p>
    <w:p w14:paraId="521918C0" w14:textId="77777777" w:rsidR="00702E65" w:rsidRPr="006849EE" w:rsidRDefault="00702E65" w:rsidP="00702E65">
      <w:pPr>
        <w:rPr>
          <w:rFonts w:asciiTheme="majorHAnsi" w:hAnsiTheme="majorHAnsi" w:cs="Arial"/>
          <w:color w:val="FF0000"/>
          <w:sz w:val="24"/>
          <w:szCs w:val="24"/>
        </w:rPr>
      </w:pPr>
    </w:p>
    <w:p w14:paraId="27D7521F" w14:textId="77777777" w:rsidR="00702E65" w:rsidRPr="006849EE" w:rsidRDefault="00702E65" w:rsidP="00702E65">
      <w:pPr>
        <w:rPr>
          <w:rFonts w:asciiTheme="majorHAnsi" w:hAnsiTheme="majorHAnsi" w:cs="Arial"/>
          <w:b/>
          <w:color w:val="auto"/>
          <w:sz w:val="24"/>
          <w:szCs w:val="24"/>
        </w:rPr>
      </w:pPr>
      <w:r w:rsidRPr="006849EE">
        <w:rPr>
          <w:rFonts w:asciiTheme="majorHAnsi" w:hAnsiTheme="majorHAnsi" w:cs="Arial"/>
          <w:b/>
          <w:color w:val="auto"/>
          <w:sz w:val="24"/>
          <w:szCs w:val="24"/>
        </w:rPr>
        <w:t>MOST RESPECTFULLY SHOWETH:</w:t>
      </w:r>
    </w:p>
    <w:p w14:paraId="0A7636F9" w14:textId="77777777" w:rsidR="00702E65" w:rsidRPr="006849EE" w:rsidRDefault="00702E65" w:rsidP="00702E65">
      <w:pPr>
        <w:ind w:left="5040" w:firstLine="720"/>
        <w:jc w:val="center"/>
        <w:rPr>
          <w:rFonts w:asciiTheme="majorHAnsi" w:hAnsiTheme="majorHAnsi" w:cs="Arial"/>
          <w:color w:val="auto"/>
          <w:sz w:val="24"/>
          <w:szCs w:val="24"/>
        </w:rPr>
      </w:pPr>
    </w:p>
    <w:p w14:paraId="74279B69" w14:textId="6DFF5DD5" w:rsidR="00702E65" w:rsidRPr="006849EE" w:rsidRDefault="00702E65" w:rsidP="00702E65">
      <w:pPr>
        <w:numPr>
          <w:ilvl w:val="0"/>
          <w:numId w:val="1"/>
        </w:numPr>
        <w:tabs>
          <w:tab w:val="clear" w:pos="1080"/>
          <w:tab w:val="left" w:pos="720"/>
        </w:tabs>
        <w:autoSpaceDE w:val="0"/>
        <w:autoSpaceDN w:val="0"/>
        <w:adjustRightInd w:val="0"/>
        <w:spacing w:line="360" w:lineRule="auto"/>
        <w:ind w:left="720"/>
        <w:jc w:val="both"/>
        <w:rPr>
          <w:rFonts w:asciiTheme="majorHAnsi" w:hAnsiTheme="majorHAnsi" w:cs="Arial"/>
          <w:b/>
          <w:bCs/>
          <w:color w:val="auto"/>
          <w:sz w:val="24"/>
          <w:szCs w:val="24"/>
        </w:rPr>
      </w:pPr>
      <w:r w:rsidRPr="006849EE">
        <w:rPr>
          <w:rFonts w:asciiTheme="majorHAnsi" w:hAnsiTheme="majorHAnsi" w:cs="Arial"/>
          <w:color w:val="auto"/>
          <w:sz w:val="24"/>
          <w:szCs w:val="24"/>
        </w:rPr>
        <w:t>Damodar Valley Corporation (</w:t>
      </w:r>
      <w:r w:rsidRPr="006849EE">
        <w:rPr>
          <w:rFonts w:asciiTheme="majorHAnsi" w:hAnsiTheme="majorHAnsi" w:cs="Arial"/>
          <w:b/>
          <w:bCs/>
          <w:color w:val="auto"/>
          <w:sz w:val="24"/>
          <w:szCs w:val="24"/>
        </w:rPr>
        <w:t xml:space="preserve">hereinafter referred to as the ‘DVC’) </w:t>
      </w:r>
      <w:r w:rsidRPr="006849EE">
        <w:rPr>
          <w:rFonts w:asciiTheme="majorHAnsi" w:hAnsiTheme="majorHAnsi" w:cs="Arial"/>
          <w:color w:val="auto"/>
          <w:sz w:val="24"/>
          <w:szCs w:val="24"/>
        </w:rPr>
        <w:t xml:space="preserve">is filing this petition for finalization of the revenue requirements and tariff admissible to DVC for the distribution and retail supply of electricity to the consumers </w:t>
      </w:r>
      <w:r w:rsidR="001A6FEF" w:rsidRPr="006849EE">
        <w:rPr>
          <w:rFonts w:asciiTheme="majorHAnsi" w:hAnsiTheme="majorHAnsi" w:cs="Arial"/>
          <w:color w:val="auto"/>
          <w:sz w:val="24"/>
          <w:szCs w:val="24"/>
        </w:rPr>
        <w:t xml:space="preserve">and licensees </w:t>
      </w:r>
      <w:r w:rsidRPr="006849EE">
        <w:rPr>
          <w:rFonts w:asciiTheme="majorHAnsi" w:hAnsiTheme="majorHAnsi" w:cs="Arial"/>
          <w:color w:val="auto"/>
          <w:sz w:val="24"/>
          <w:szCs w:val="24"/>
        </w:rPr>
        <w:t xml:space="preserve">serviced by DVC in the part of the Damodar Valley </w:t>
      </w:r>
      <w:r w:rsidR="000F1FF8" w:rsidRPr="006849EE">
        <w:rPr>
          <w:rFonts w:asciiTheme="majorHAnsi" w:hAnsiTheme="majorHAnsi" w:cs="Arial"/>
          <w:color w:val="auto"/>
          <w:sz w:val="24"/>
          <w:szCs w:val="24"/>
        </w:rPr>
        <w:t xml:space="preserve">Area </w:t>
      </w:r>
      <w:r w:rsidRPr="006849EE">
        <w:rPr>
          <w:rFonts w:asciiTheme="majorHAnsi" w:hAnsiTheme="majorHAnsi" w:cs="Arial"/>
          <w:color w:val="auto"/>
          <w:sz w:val="24"/>
          <w:szCs w:val="24"/>
        </w:rPr>
        <w:t>falling within the territory of the State of Jharkhand</w:t>
      </w:r>
      <w:r w:rsidRPr="006849EE">
        <w:rPr>
          <w:rFonts w:asciiTheme="majorHAnsi" w:eastAsia="Calibri" w:hAnsiTheme="majorHAnsi" w:cs="Arial"/>
          <w:color w:val="auto"/>
          <w:sz w:val="24"/>
          <w:szCs w:val="24"/>
        </w:rPr>
        <w:t xml:space="preserve">. The present Petition is filed for determination of Aggregate Revenue Requirement </w:t>
      </w:r>
      <w:r w:rsidR="00C45B83" w:rsidRPr="006849EE">
        <w:rPr>
          <w:rFonts w:asciiTheme="majorHAnsi" w:hAnsiTheme="majorHAnsi" w:cs="Arial"/>
          <w:color w:val="auto"/>
          <w:sz w:val="24"/>
          <w:szCs w:val="24"/>
        </w:rPr>
        <w:t>(</w:t>
      </w:r>
      <w:r w:rsidR="00C45B83" w:rsidRPr="006849EE">
        <w:rPr>
          <w:rFonts w:asciiTheme="majorHAnsi" w:hAnsiTheme="majorHAnsi" w:cs="Arial"/>
          <w:b/>
          <w:bCs/>
          <w:color w:val="auto"/>
          <w:sz w:val="24"/>
          <w:szCs w:val="24"/>
        </w:rPr>
        <w:t xml:space="preserve">hereinafter referred to as the ‘ARR’) </w:t>
      </w:r>
      <w:r w:rsidR="00C45B83" w:rsidRPr="006849EE">
        <w:rPr>
          <w:rFonts w:asciiTheme="majorHAnsi" w:eastAsia="Calibri" w:hAnsiTheme="majorHAnsi" w:cs="Arial"/>
          <w:color w:val="auto"/>
          <w:sz w:val="24"/>
          <w:szCs w:val="24"/>
        </w:rPr>
        <w:t xml:space="preserve">of DVC for the period FYs </w:t>
      </w:r>
      <w:r w:rsidR="006418E9" w:rsidRPr="006849EE">
        <w:rPr>
          <w:rFonts w:asciiTheme="majorHAnsi" w:eastAsia="Calibri" w:hAnsiTheme="majorHAnsi" w:cs="Arial"/>
          <w:color w:val="auto"/>
          <w:sz w:val="24"/>
          <w:szCs w:val="24"/>
        </w:rPr>
        <w:t>2026-27 to 2030-31</w:t>
      </w:r>
      <w:r w:rsidR="00A3268B" w:rsidRPr="006849EE">
        <w:rPr>
          <w:rFonts w:asciiTheme="majorHAnsi" w:eastAsia="Calibri" w:hAnsiTheme="majorHAnsi" w:cs="Arial"/>
          <w:color w:val="auto"/>
          <w:sz w:val="24"/>
          <w:szCs w:val="24"/>
        </w:rPr>
        <w:t xml:space="preserve"> </w:t>
      </w:r>
      <w:r w:rsidRPr="006849EE">
        <w:rPr>
          <w:rFonts w:asciiTheme="majorHAnsi" w:eastAsia="Calibri" w:hAnsiTheme="majorHAnsi" w:cs="Arial"/>
          <w:color w:val="auto"/>
          <w:sz w:val="24"/>
          <w:szCs w:val="24"/>
        </w:rPr>
        <w:t xml:space="preserve">and Distribution Tariff </w:t>
      </w:r>
      <w:r w:rsidR="00C45B83" w:rsidRPr="006849EE">
        <w:rPr>
          <w:rFonts w:asciiTheme="majorHAnsi" w:eastAsia="Calibri" w:hAnsiTheme="majorHAnsi" w:cs="Arial"/>
          <w:color w:val="auto"/>
          <w:sz w:val="24"/>
          <w:szCs w:val="24"/>
        </w:rPr>
        <w:t xml:space="preserve">of DVC for the period FY </w:t>
      </w:r>
      <w:r w:rsidR="00DA0E06" w:rsidRPr="006849EE">
        <w:rPr>
          <w:rFonts w:asciiTheme="majorHAnsi" w:eastAsia="Calibri" w:hAnsiTheme="majorHAnsi" w:cs="Arial"/>
          <w:color w:val="auto"/>
          <w:sz w:val="24"/>
          <w:szCs w:val="24"/>
        </w:rPr>
        <w:t>2026-27</w:t>
      </w:r>
      <w:r w:rsidR="00C45B83" w:rsidRPr="006849EE">
        <w:rPr>
          <w:rFonts w:asciiTheme="majorHAnsi" w:eastAsia="Calibri" w:hAnsiTheme="majorHAnsi" w:cs="Arial"/>
          <w:color w:val="auto"/>
          <w:sz w:val="24"/>
          <w:szCs w:val="24"/>
        </w:rPr>
        <w:t xml:space="preserve"> </w:t>
      </w:r>
      <w:r w:rsidR="001A6FEF" w:rsidRPr="006849EE">
        <w:rPr>
          <w:rFonts w:asciiTheme="majorHAnsi" w:eastAsia="Calibri" w:hAnsiTheme="majorHAnsi" w:cs="Arial"/>
          <w:color w:val="auto"/>
          <w:sz w:val="24"/>
          <w:szCs w:val="24"/>
        </w:rPr>
        <w:t xml:space="preserve">applicable </w:t>
      </w:r>
      <w:r w:rsidRPr="006849EE">
        <w:rPr>
          <w:rFonts w:asciiTheme="majorHAnsi" w:eastAsia="Calibri" w:hAnsiTheme="majorHAnsi" w:cs="Arial"/>
          <w:color w:val="auto"/>
          <w:sz w:val="24"/>
          <w:szCs w:val="24"/>
        </w:rPr>
        <w:t xml:space="preserve">in </w:t>
      </w:r>
      <w:r w:rsidR="00C45B83" w:rsidRPr="006849EE">
        <w:rPr>
          <w:rFonts w:asciiTheme="majorHAnsi" w:eastAsia="Calibri" w:hAnsiTheme="majorHAnsi" w:cs="Arial"/>
          <w:color w:val="auto"/>
          <w:sz w:val="24"/>
          <w:szCs w:val="24"/>
        </w:rPr>
        <w:t>its</w:t>
      </w:r>
      <w:r w:rsidRPr="006849EE">
        <w:rPr>
          <w:rFonts w:asciiTheme="majorHAnsi" w:eastAsia="Calibri" w:hAnsiTheme="majorHAnsi" w:cs="Arial"/>
          <w:color w:val="auto"/>
          <w:sz w:val="24"/>
          <w:szCs w:val="24"/>
        </w:rPr>
        <w:t xml:space="preserve"> Jharkhand command area </w:t>
      </w:r>
      <w:r w:rsidR="000F1FF8" w:rsidRPr="006849EE">
        <w:rPr>
          <w:rFonts w:asciiTheme="majorHAnsi" w:eastAsia="Calibri" w:hAnsiTheme="majorHAnsi" w:cs="Arial"/>
          <w:color w:val="auto"/>
          <w:sz w:val="24"/>
          <w:szCs w:val="24"/>
        </w:rPr>
        <w:t xml:space="preserve">in terms of </w:t>
      </w:r>
      <w:r w:rsidR="00C45B83" w:rsidRPr="006849EE">
        <w:rPr>
          <w:rFonts w:asciiTheme="majorHAnsi" w:eastAsia="Calibri" w:hAnsiTheme="majorHAnsi" w:cs="Arial"/>
          <w:color w:val="auto"/>
          <w:sz w:val="24"/>
          <w:szCs w:val="24"/>
        </w:rPr>
        <w:t>‘</w:t>
      </w:r>
      <w:r w:rsidR="000F1FF8" w:rsidRPr="006849EE">
        <w:rPr>
          <w:rFonts w:asciiTheme="majorHAnsi" w:eastAsia="Calibri" w:hAnsiTheme="majorHAnsi" w:cs="Arial"/>
          <w:color w:val="auto"/>
          <w:sz w:val="24"/>
          <w:szCs w:val="24"/>
        </w:rPr>
        <w:t xml:space="preserve">Terms and Conditions for Determination of Distribution Tariff’ </w:t>
      </w:r>
      <w:r w:rsidRPr="006849EE">
        <w:rPr>
          <w:rFonts w:asciiTheme="majorHAnsi" w:eastAsia="Calibri" w:hAnsiTheme="majorHAnsi" w:cs="Arial"/>
          <w:color w:val="auto"/>
          <w:sz w:val="24"/>
          <w:szCs w:val="24"/>
        </w:rPr>
        <w:t>Regulations</w:t>
      </w:r>
      <w:r w:rsidR="000F1FF8" w:rsidRPr="006849EE">
        <w:rPr>
          <w:rFonts w:asciiTheme="majorHAnsi" w:eastAsia="Calibri" w:hAnsiTheme="majorHAnsi" w:cs="Arial"/>
          <w:color w:val="auto"/>
          <w:sz w:val="24"/>
          <w:szCs w:val="24"/>
        </w:rPr>
        <w:t>, 20</w:t>
      </w:r>
      <w:r w:rsidR="00C45B83" w:rsidRPr="006849EE">
        <w:rPr>
          <w:rFonts w:asciiTheme="majorHAnsi" w:eastAsia="Calibri" w:hAnsiTheme="majorHAnsi" w:cs="Arial"/>
          <w:color w:val="auto"/>
          <w:sz w:val="24"/>
          <w:szCs w:val="24"/>
        </w:rPr>
        <w:t>2</w:t>
      </w:r>
      <w:r w:rsidR="00A3268B" w:rsidRPr="006849EE">
        <w:rPr>
          <w:rFonts w:asciiTheme="majorHAnsi" w:eastAsia="Calibri" w:hAnsiTheme="majorHAnsi" w:cs="Arial"/>
          <w:color w:val="auto"/>
          <w:sz w:val="24"/>
          <w:szCs w:val="24"/>
        </w:rPr>
        <w:t>5</w:t>
      </w:r>
      <w:r w:rsidRPr="006849EE">
        <w:rPr>
          <w:rFonts w:asciiTheme="majorHAnsi" w:eastAsia="Calibri" w:hAnsiTheme="majorHAnsi" w:cs="Arial"/>
          <w:color w:val="auto"/>
          <w:sz w:val="24"/>
          <w:szCs w:val="24"/>
        </w:rPr>
        <w:t xml:space="preserve"> </w:t>
      </w:r>
      <w:r w:rsidR="00C45B83" w:rsidRPr="006849EE">
        <w:rPr>
          <w:rFonts w:asciiTheme="majorHAnsi" w:eastAsia="Calibri" w:hAnsiTheme="majorHAnsi" w:cs="Arial"/>
          <w:color w:val="auto"/>
          <w:sz w:val="24"/>
          <w:szCs w:val="24"/>
        </w:rPr>
        <w:t xml:space="preserve">as notified by </w:t>
      </w:r>
      <w:r w:rsidRPr="006849EE">
        <w:rPr>
          <w:rFonts w:asciiTheme="majorHAnsi" w:eastAsia="Calibri" w:hAnsiTheme="majorHAnsi" w:cs="Arial"/>
          <w:color w:val="auto"/>
          <w:sz w:val="24"/>
          <w:szCs w:val="24"/>
        </w:rPr>
        <w:t>th</w:t>
      </w:r>
      <w:r w:rsidR="00F96EEE" w:rsidRPr="006849EE">
        <w:rPr>
          <w:rFonts w:asciiTheme="majorHAnsi" w:eastAsia="Calibri" w:hAnsiTheme="majorHAnsi" w:cs="Arial"/>
          <w:color w:val="auto"/>
          <w:sz w:val="24"/>
          <w:szCs w:val="24"/>
        </w:rPr>
        <w:t>e</w:t>
      </w:r>
      <w:r w:rsidRPr="006849EE">
        <w:rPr>
          <w:rFonts w:asciiTheme="majorHAnsi" w:eastAsia="Calibri" w:hAnsiTheme="majorHAnsi" w:cs="Arial"/>
          <w:color w:val="auto"/>
          <w:sz w:val="24"/>
          <w:szCs w:val="24"/>
        </w:rPr>
        <w:t xml:space="preserve"> Hon’ble</w:t>
      </w:r>
      <w:r w:rsidR="00F96EEE" w:rsidRPr="006849EE">
        <w:rPr>
          <w:rFonts w:asciiTheme="majorHAnsi" w:eastAsia="Calibri" w:hAnsiTheme="majorHAnsi" w:cs="Arial"/>
          <w:color w:val="auto"/>
          <w:sz w:val="24"/>
          <w:szCs w:val="24"/>
        </w:rPr>
        <w:t xml:space="preserve"> </w:t>
      </w:r>
      <w:r w:rsidR="00F96EEE" w:rsidRPr="006849EE">
        <w:rPr>
          <w:rFonts w:asciiTheme="majorHAnsi" w:hAnsiTheme="majorHAnsi" w:cs="Arial"/>
          <w:color w:val="auto"/>
          <w:sz w:val="24"/>
          <w:szCs w:val="24"/>
        </w:rPr>
        <w:t xml:space="preserve">Jharkhand State Electricity Regulatory Commission </w:t>
      </w:r>
      <w:r w:rsidR="00366137" w:rsidRPr="006849EE">
        <w:rPr>
          <w:rFonts w:asciiTheme="majorHAnsi" w:eastAsia="Calibri" w:hAnsiTheme="majorHAnsi" w:cs="Arial"/>
          <w:color w:val="auto"/>
          <w:sz w:val="24"/>
          <w:szCs w:val="24"/>
        </w:rPr>
        <w:t xml:space="preserve">and the </w:t>
      </w:r>
      <w:r w:rsidR="00C45B83" w:rsidRPr="006849EE">
        <w:rPr>
          <w:rFonts w:asciiTheme="majorHAnsi" w:eastAsia="Calibri" w:hAnsiTheme="majorHAnsi" w:cs="Arial"/>
          <w:color w:val="auto"/>
          <w:sz w:val="24"/>
          <w:szCs w:val="24"/>
        </w:rPr>
        <w:t xml:space="preserve">Electricity </w:t>
      </w:r>
      <w:r w:rsidR="00366137" w:rsidRPr="006849EE">
        <w:rPr>
          <w:rFonts w:asciiTheme="majorHAnsi" w:eastAsia="Calibri" w:hAnsiTheme="majorHAnsi" w:cs="Arial"/>
          <w:color w:val="auto"/>
          <w:sz w:val="24"/>
          <w:szCs w:val="24"/>
        </w:rPr>
        <w:t>Act</w:t>
      </w:r>
      <w:r w:rsidRPr="006849EE">
        <w:rPr>
          <w:rFonts w:asciiTheme="majorHAnsi" w:eastAsia="Calibri" w:hAnsiTheme="majorHAnsi" w:cs="Arial"/>
          <w:color w:val="auto"/>
          <w:sz w:val="24"/>
          <w:szCs w:val="24"/>
        </w:rPr>
        <w:t>.</w:t>
      </w:r>
      <w:r w:rsidR="00C45B83" w:rsidRPr="006849EE">
        <w:rPr>
          <w:rFonts w:asciiTheme="majorHAnsi" w:eastAsia="Calibri" w:hAnsiTheme="majorHAnsi" w:cs="Arial"/>
          <w:color w:val="auto"/>
          <w:sz w:val="24"/>
          <w:szCs w:val="24"/>
        </w:rPr>
        <w:t xml:space="preserve"> </w:t>
      </w:r>
    </w:p>
    <w:p w14:paraId="2E820AC0" w14:textId="77777777" w:rsidR="00893DEB" w:rsidRPr="006849EE" w:rsidRDefault="00893DEB" w:rsidP="00893DEB">
      <w:pPr>
        <w:tabs>
          <w:tab w:val="left" w:pos="720"/>
        </w:tabs>
        <w:autoSpaceDE w:val="0"/>
        <w:autoSpaceDN w:val="0"/>
        <w:adjustRightInd w:val="0"/>
        <w:spacing w:line="360" w:lineRule="auto"/>
        <w:ind w:left="720"/>
        <w:jc w:val="both"/>
        <w:rPr>
          <w:rFonts w:asciiTheme="majorHAnsi" w:hAnsiTheme="majorHAnsi" w:cs="Arial"/>
          <w:b/>
          <w:bCs/>
          <w:color w:val="FF0000"/>
          <w:sz w:val="24"/>
          <w:szCs w:val="24"/>
        </w:rPr>
      </w:pPr>
    </w:p>
    <w:p w14:paraId="20BBB59C" w14:textId="77777777" w:rsidR="00C45B83" w:rsidRPr="006849EE" w:rsidRDefault="00C45B83" w:rsidP="00C45B83">
      <w:pPr>
        <w:pStyle w:val="ListParagraph"/>
        <w:rPr>
          <w:rFonts w:asciiTheme="majorHAnsi" w:hAnsiTheme="majorHAnsi" w:cs="Arial"/>
          <w:color w:val="FF0000"/>
          <w:sz w:val="24"/>
          <w:szCs w:val="24"/>
        </w:rPr>
      </w:pPr>
    </w:p>
    <w:p w14:paraId="5C32EBA0" w14:textId="7BF49BB4" w:rsidR="00C45B83" w:rsidRPr="006849EE" w:rsidRDefault="00C45B83" w:rsidP="00C45B83">
      <w:pPr>
        <w:numPr>
          <w:ilvl w:val="0"/>
          <w:numId w:val="1"/>
        </w:numPr>
        <w:tabs>
          <w:tab w:val="clear" w:pos="1080"/>
          <w:tab w:val="num" w:pos="720"/>
        </w:tabs>
        <w:spacing w:line="360" w:lineRule="auto"/>
        <w:ind w:left="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undertakes the retail sale and supply of electricity to the consumers and </w:t>
      </w:r>
      <w:r w:rsidR="00D37BDC" w:rsidRPr="006849EE">
        <w:rPr>
          <w:rFonts w:asciiTheme="majorHAnsi" w:hAnsiTheme="majorHAnsi" w:cs="Arial"/>
          <w:color w:val="auto"/>
          <w:sz w:val="24"/>
          <w:szCs w:val="24"/>
        </w:rPr>
        <w:t>licenses</w:t>
      </w:r>
      <w:r w:rsidRPr="006849EE">
        <w:rPr>
          <w:rFonts w:asciiTheme="majorHAnsi" w:hAnsiTheme="majorHAnsi" w:cs="Arial"/>
          <w:color w:val="auto"/>
          <w:sz w:val="24"/>
          <w:szCs w:val="24"/>
        </w:rPr>
        <w:t xml:space="preserve"> located within its operational area and the same is covered by Section 62 (1)(d) of the Electricity Act, 2003. </w:t>
      </w:r>
      <w:r w:rsidR="00FA08C9" w:rsidRPr="006849EE">
        <w:rPr>
          <w:rFonts w:asciiTheme="majorHAnsi" w:hAnsiTheme="majorHAnsi" w:cs="Arial"/>
          <w:color w:val="auto"/>
          <w:sz w:val="24"/>
          <w:szCs w:val="24"/>
        </w:rPr>
        <w:t xml:space="preserve">Besides </w:t>
      </w:r>
      <w:r w:rsidR="00C91976" w:rsidRPr="006849EE">
        <w:rPr>
          <w:rFonts w:asciiTheme="majorHAnsi" w:hAnsiTheme="majorHAnsi" w:cs="Arial"/>
          <w:color w:val="auto"/>
          <w:sz w:val="24"/>
          <w:szCs w:val="24"/>
        </w:rPr>
        <w:t xml:space="preserve">retail supply </w:t>
      </w:r>
      <w:r w:rsidR="00415755" w:rsidRPr="006849EE">
        <w:rPr>
          <w:rFonts w:asciiTheme="majorHAnsi" w:hAnsiTheme="majorHAnsi" w:cs="Arial"/>
          <w:color w:val="auto"/>
          <w:sz w:val="24"/>
          <w:szCs w:val="24"/>
        </w:rPr>
        <w:t xml:space="preserve">to its </w:t>
      </w:r>
      <w:r w:rsidR="00C91976" w:rsidRPr="006849EE">
        <w:rPr>
          <w:rFonts w:asciiTheme="majorHAnsi" w:hAnsiTheme="majorHAnsi" w:cs="Arial"/>
          <w:color w:val="auto"/>
          <w:sz w:val="24"/>
          <w:szCs w:val="24"/>
        </w:rPr>
        <w:t xml:space="preserve">consumers, </w:t>
      </w:r>
      <w:r w:rsidRPr="006849EE">
        <w:rPr>
          <w:rFonts w:asciiTheme="majorHAnsi" w:hAnsiTheme="majorHAnsi" w:cs="Arial"/>
          <w:color w:val="auto"/>
          <w:sz w:val="24"/>
          <w:szCs w:val="24"/>
        </w:rPr>
        <w:t xml:space="preserve">DVC </w:t>
      </w:r>
      <w:r w:rsidR="007D5ED1" w:rsidRPr="006849EE">
        <w:rPr>
          <w:rFonts w:asciiTheme="majorHAnsi" w:hAnsiTheme="majorHAnsi" w:cs="Arial"/>
          <w:color w:val="auto"/>
          <w:sz w:val="24"/>
          <w:szCs w:val="24"/>
        </w:rPr>
        <w:t>use</w:t>
      </w:r>
      <w:r w:rsidR="00171EA5" w:rsidRPr="006849EE">
        <w:rPr>
          <w:rFonts w:asciiTheme="majorHAnsi" w:hAnsiTheme="majorHAnsi" w:cs="Arial"/>
          <w:color w:val="auto"/>
          <w:sz w:val="24"/>
          <w:szCs w:val="24"/>
        </w:rPr>
        <w:t>d</w:t>
      </w:r>
      <w:r w:rsidR="007D5ED1" w:rsidRPr="006849EE">
        <w:rPr>
          <w:rFonts w:asciiTheme="majorHAnsi" w:hAnsiTheme="majorHAnsi" w:cs="Arial"/>
          <w:color w:val="auto"/>
          <w:sz w:val="24"/>
          <w:szCs w:val="24"/>
        </w:rPr>
        <w:t xml:space="preserve"> to </w:t>
      </w:r>
      <w:r w:rsidRPr="006849EE">
        <w:rPr>
          <w:rFonts w:asciiTheme="majorHAnsi" w:hAnsiTheme="majorHAnsi" w:cs="Arial"/>
          <w:color w:val="auto"/>
          <w:sz w:val="24"/>
          <w:szCs w:val="24"/>
        </w:rPr>
        <w:t>suppl</w:t>
      </w:r>
      <w:r w:rsidR="00171EA5" w:rsidRPr="006849EE">
        <w:rPr>
          <w:rFonts w:asciiTheme="majorHAnsi" w:hAnsiTheme="majorHAnsi" w:cs="Arial"/>
          <w:color w:val="auto"/>
          <w:sz w:val="24"/>
          <w:szCs w:val="24"/>
        </w:rPr>
        <w:t>y</w:t>
      </w:r>
      <w:r w:rsidRPr="006849EE">
        <w:rPr>
          <w:rFonts w:asciiTheme="majorHAnsi" w:hAnsiTheme="majorHAnsi" w:cs="Arial"/>
          <w:color w:val="auto"/>
          <w:sz w:val="24"/>
          <w:szCs w:val="24"/>
        </w:rPr>
        <w:t xml:space="preserve"> power to</w:t>
      </w:r>
      <w:r w:rsidR="000D02D2" w:rsidRPr="006849EE">
        <w:rPr>
          <w:rFonts w:asciiTheme="majorHAnsi" w:hAnsiTheme="majorHAnsi" w:cs="Arial"/>
          <w:color w:val="auto"/>
          <w:sz w:val="24"/>
          <w:szCs w:val="24"/>
        </w:rPr>
        <w:t xml:space="preserve"> licensees viz.</w:t>
      </w:r>
      <w:r w:rsidRPr="006849EE">
        <w:rPr>
          <w:rFonts w:asciiTheme="majorHAnsi" w:hAnsiTheme="majorHAnsi" w:cs="Arial"/>
          <w:color w:val="auto"/>
          <w:sz w:val="24"/>
          <w:szCs w:val="24"/>
        </w:rPr>
        <w:t xml:space="preserve"> JBVNL</w:t>
      </w:r>
      <w:r w:rsidR="00E921A3" w:rsidRPr="006849EE">
        <w:rPr>
          <w:rFonts w:asciiTheme="majorHAnsi" w:hAnsiTheme="majorHAnsi" w:cs="Arial"/>
          <w:color w:val="auto"/>
          <w:sz w:val="24"/>
          <w:szCs w:val="24"/>
        </w:rPr>
        <w:t>,</w:t>
      </w:r>
      <w:r w:rsidR="00E0429D" w:rsidRPr="006849EE">
        <w:rPr>
          <w:rFonts w:asciiTheme="majorHAnsi" w:hAnsiTheme="majorHAnsi" w:cs="Arial"/>
          <w:color w:val="auto"/>
          <w:sz w:val="24"/>
          <w:szCs w:val="24"/>
        </w:rPr>
        <w:t xml:space="preserve"> </w:t>
      </w:r>
      <w:r w:rsidRPr="006849EE">
        <w:rPr>
          <w:rFonts w:asciiTheme="majorHAnsi" w:hAnsiTheme="majorHAnsi" w:cs="Arial"/>
          <w:color w:val="auto"/>
          <w:sz w:val="24"/>
          <w:szCs w:val="24"/>
        </w:rPr>
        <w:t>JUSCO, TATA Steel</w:t>
      </w:r>
      <w:r w:rsidR="006D24B1" w:rsidRPr="006849EE">
        <w:rPr>
          <w:rFonts w:asciiTheme="majorHAnsi" w:hAnsiTheme="majorHAnsi" w:cs="Arial"/>
          <w:color w:val="auto"/>
          <w:sz w:val="24"/>
          <w:szCs w:val="24"/>
        </w:rPr>
        <w:t>,</w:t>
      </w:r>
      <w:r w:rsidR="00061354" w:rsidRPr="006849EE">
        <w:rPr>
          <w:rFonts w:asciiTheme="majorHAnsi" w:hAnsiTheme="majorHAnsi" w:cs="Arial"/>
          <w:color w:val="auto"/>
          <w:sz w:val="24"/>
          <w:szCs w:val="24"/>
        </w:rPr>
        <w:t xml:space="preserve"> </w:t>
      </w:r>
      <w:r w:rsidR="006D24B1" w:rsidRPr="006849EE">
        <w:rPr>
          <w:rFonts w:asciiTheme="majorHAnsi" w:hAnsiTheme="majorHAnsi" w:cs="Arial"/>
          <w:color w:val="auto"/>
          <w:sz w:val="24"/>
          <w:szCs w:val="24"/>
        </w:rPr>
        <w:t xml:space="preserve">Bokaro Steel Ltd </w:t>
      </w:r>
      <w:r w:rsidR="00897A80" w:rsidRPr="006849EE">
        <w:rPr>
          <w:rFonts w:asciiTheme="majorHAnsi" w:hAnsiTheme="majorHAnsi" w:cs="Arial"/>
          <w:color w:val="auto"/>
          <w:sz w:val="24"/>
          <w:szCs w:val="24"/>
        </w:rPr>
        <w:t>(BSL)</w:t>
      </w:r>
      <w:r w:rsidRPr="006849EE">
        <w:rPr>
          <w:rFonts w:asciiTheme="majorHAnsi" w:hAnsiTheme="majorHAnsi" w:cs="Arial"/>
          <w:color w:val="auto"/>
          <w:sz w:val="24"/>
          <w:szCs w:val="24"/>
        </w:rPr>
        <w:t xml:space="preserve">etc. at some </w:t>
      </w:r>
      <w:r w:rsidR="00B27124" w:rsidRPr="006849EE">
        <w:rPr>
          <w:rFonts w:asciiTheme="majorHAnsi" w:hAnsiTheme="majorHAnsi" w:cs="Arial"/>
          <w:color w:val="auto"/>
          <w:sz w:val="24"/>
          <w:szCs w:val="24"/>
        </w:rPr>
        <w:t xml:space="preserve">connection </w:t>
      </w:r>
      <w:r w:rsidRPr="006849EE">
        <w:rPr>
          <w:rFonts w:asciiTheme="majorHAnsi" w:hAnsiTheme="majorHAnsi" w:cs="Arial"/>
          <w:color w:val="auto"/>
          <w:sz w:val="24"/>
          <w:szCs w:val="24"/>
        </w:rPr>
        <w:t>points in consumer mode through its own T &amp; D network</w:t>
      </w:r>
      <w:r w:rsidR="00AD3495" w:rsidRPr="006849EE">
        <w:rPr>
          <w:rFonts w:asciiTheme="majorHAnsi" w:hAnsiTheme="majorHAnsi" w:cs="Arial"/>
          <w:color w:val="auto"/>
          <w:sz w:val="24"/>
          <w:szCs w:val="24"/>
        </w:rPr>
        <w:t>.</w:t>
      </w:r>
      <w:r w:rsidR="001B18C3" w:rsidRPr="006849EE">
        <w:rPr>
          <w:rFonts w:asciiTheme="majorHAnsi" w:hAnsiTheme="majorHAnsi" w:cs="Arial"/>
          <w:color w:val="auto"/>
          <w:sz w:val="24"/>
          <w:szCs w:val="24"/>
        </w:rPr>
        <w:t xml:space="preserve"> </w:t>
      </w:r>
      <w:r w:rsidR="0052522A" w:rsidRPr="006849EE">
        <w:rPr>
          <w:rFonts w:asciiTheme="majorHAnsi" w:hAnsiTheme="majorHAnsi" w:cs="Arial"/>
          <w:color w:val="auto"/>
          <w:sz w:val="24"/>
          <w:szCs w:val="24"/>
        </w:rPr>
        <w:t xml:space="preserve">In view of the progressive migration of such </w:t>
      </w:r>
      <w:proofErr w:type="gramStart"/>
      <w:r w:rsidR="0052522A" w:rsidRPr="006849EE">
        <w:rPr>
          <w:rFonts w:asciiTheme="majorHAnsi" w:hAnsiTheme="majorHAnsi" w:cs="Arial"/>
          <w:color w:val="auto"/>
          <w:sz w:val="24"/>
          <w:szCs w:val="24"/>
        </w:rPr>
        <w:t>licensees</w:t>
      </w:r>
      <w:proofErr w:type="gramEnd"/>
      <w:r w:rsidR="0052522A" w:rsidRPr="006849EE">
        <w:rPr>
          <w:rFonts w:asciiTheme="majorHAnsi" w:hAnsiTheme="majorHAnsi" w:cs="Arial"/>
          <w:color w:val="auto"/>
          <w:sz w:val="24"/>
          <w:szCs w:val="24"/>
        </w:rPr>
        <w:t xml:space="preserve"> to scheduled mode, no projection of sale to licensees in Jharkhand has been included in this Petition</w:t>
      </w:r>
      <w:r w:rsidR="00AD3495" w:rsidRPr="006849EE">
        <w:rPr>
          <w:rFonts w:asciiTheme="majorHAnsi" w:hAnsiTheme="majorHAnsi" w:cs="Arial"/>
          <w:color w:val="auto"/>
          <w:sz w:val="24"/>
          <w:szCs w:val="24"/>
        </w:rPr>
        <w:t>.</w:t>
      </w:r>
      <w:r w:rsidRPr="006849EE">
        <w:rPr>
          <w:rFonts w:asciiTheme="majorHAnsi" w:hAnsiTheme="majorHAnsi" w:cs="Arial"/>
          <w:color w:val="auto"/>
          <w:sz w:val="24"/>
          <w:szCs w:val="24"/>
        </w:rPr>
        <w:t xml:space="preserve"> This Hon’ble Commission </w:t>
      </w:r>
      <w:r w:rsidR="6FC3CA20" w:rsidRPr="006849EE">
        <w:rPr>
          <w:rFonts w:asciiTheme="majorHAnsi" w:hAnsiTheme="majorHAnsi" w:cs="Arial"/>
          <w:color w:val="auto"/>
          <w:sz w:val="24"/>
          <w:szCs w:val="24"/>
        </w:rPr>
        <w:t xml:space="preserve">also </w:t>
      </w:r>
      <w:r w:rsidRPr="006849EE">
        <w:rPr>
          <w:rFonts w:asciiTheme="majorHAnsi" w:hAnsiTheme="majorHAnsi" w:cs="Arial"/>
          <w:color w:val="auto"/>
          <w:sz w:val="24"/>
          <w:szCs w:val="24"/>
        </w:rPr>
        <w:t>determine</w:t>
      </w:r>
      <w:r w:rsidR="6359C6E5" w:rsidRPr="006849EE">
        <w:rPr>
          <w:rFonts w:asciiTheme="majorHAnsi" w:hAnsiTheme="majorHAnsi" w:cs="Arial"/>
          <w:color w:val="auto"/>
          <w:sz w:val="24"/>
          <w:szCs w:val="24"/>
        </w:rPr>
        <w:t>d</w:t>
      </w:r>
      <w:r w:rsidRPr="006849EE">
        <w:rPr>
          <w:rFonts w:asciiTheme="majorHAnsi" w:hAnsiTheme="majorHAnsi" w:cs="Arial"/>
          <w:color w:val="auto"/>
          <w:sz w:val="24"/>
          <w:szCs w:val="24"/>
        </w:rPr>
        <w:t xml:space="preserve"> tariff applicable for supply of electricity by DVC for Institutional Services</w:t>
      </w:r>
      <w:r w:rsidR="005E06D7" w:rsidRPr="006849EE">
        <w:rPr>
          <w:rFonts w:asciiTheme="majorHAnsi" w:hAnsiTheme="majorHAnsi" w:cs="Arial"/>
          <w:color w:val="auto"/>
          <w:sz w:val="24"/>
          <w:szCs w:val="24"/>
        </w:rPr>
        <w:t xml:space="preserve"> like Railway </w:t>
      </w:r>
      <w:proofErr w:type="gramStart"/>
      <w:r w:rsidR="005E06D7" w:rsidRPr="006849EE">
        <w:rPr>
          <w:rFonts w:asciiTheme="majorHAnsi" w:hAnsiTheme="majorHAnsi" w:cs="Arial"/>
          <w:color w:val="auto"/>
          <w:sz w:val="24"/>
          <w:szCs w:val="24"/>
        </w:rPr>
        <w:t>traction</w:t>
      </w:r>
      <w:proofErr w:type="gramEnd"/>
      <w:r w:rsidR="005E06D7" w:rsidRPr="006849EE">
        <w:rPr>
          <w:rFonts w:asciiTheme="majorHAnsi" w:hAnsiTheme="majorHAnsi" w:cs="Arial"/>
          <w:color w:val="auto"/>
          <w:sz w:val="24"/>
          <w:szCs w:val="24"/>
        </w:rPr>
        <w:t xml:space="preserve"> and </w:t>
      </w:r>
      <w:r w:rsidR="005E5FE7" w:rsidRPr="006849EE">
        <w:rPr>
          <w:rFonts w:asciiTheme="majorHAnsi" w:hAnsiTheme="majorHAnsi" w:cs="Arial"/>
          <w:color w:val="auto"/>
          <w:sz w:val="24"/>
          <w:szCs w:val="24"/>
        </w:rPr>
        <w:t>Military Services</w:t>
      </w:r>
      <w:r w:rsidRPr="006849EE">
        <w:rPr>
          <w:rFonts w:asciiTheme="majorHAnsi" w:hAnsiTheme="majorHAnsi" w:cs="Arial"/>
          <w:color w:val="auto"/>
          <w:sz w:val="24"/>
          <w:szCs w:val="24"/>
        </w:rPr>
        <w:t xml:space="preserve"> in the </w:t>
      </w:r>
      <w:r w:rsidR="00DB738A" w:rsidRPr="006849EE">
        <w:rPr>
          <w:rFonts w:asciiTheme="majorHAnsi" w:hAnsiTheme="majorHAnsi" w:cs="Arial"/>
          <w:color w:val="auto"/>
          <w:sz w:val="24"/>
          <w:szCs w:val="24"/>
        </w:rPr>
        <w:t xml:space="preserve">last </w:t>
      </w:r>
      <w:r w:rsidRPr="006849EE">
        <w:rPr>
          <w:rFonts w:asciiTheme="majorHAnsi" w:hAnsiTheme="majorHAnsi" w:cs="Arial"/>
          <w:color w:val="auto"/>
          <w:sz w:val="24"/>
          <w:szCs w:val="24"/>
        </w:rPr>
        <w:t xml:space="preserve">tariff order </w:t>
      </w:r>
      <w:proofErr w:type="spellStart"/>
      <w:r w:rsidRPr="006849EE">
        <w:rPr>
          <w:rFonts w:asciiTheme="majorHAnsi" w:hAnsiTheme="majorHAnsi" w:cs="Arial"/>
          <w:color w:val="auto"/>
          <w:sz w:val="24"/>
          <w:szCs w:val="24"/>
        </w:rPr>
        <w:t>dtd</w:t>
      </w:r>
      <w:proofErr w:type="spellEnd"/>
      <w:r w:rsidRPr="006849EE">
        <w:rPr>
          <w:rFonts w:asciiTheme="majorHAnsi" w:hAnsiTheme="majorHAnsi" w:cs="Arial"/>
          <w:color w:val="auto"/>
          <w:sz w:val="24"/>
          <w:szCs w:val="24"/>
        </w:rPr>
        <w:t xml:space="preserve">. </w:t>
      </w:r>
      <w:r w:rsidR="001016B3" w:rsidRPr="006849EE">
        <w:rPr>
          <w:rFonts w:asciiTheme="majorHAnsi" w:hAnsiTheme="majorHAnsi" w:cs="Arial"/>
          <w:color w:val="auto"/>
          <w:sz w:val="24"/>
          <w:szCs w:val="24"/>
        </w:rPr>
        <w:t>27</w:t>
      </w:r>
      <w:r w:rsidRPr="006849EE">
        <w:rPr>
          <w:rFonts w:asciiTheme="majorHAnsi" w:hAnsiTheme="majorHAnsi" w:cs="Arial"/>
          <w:color w:val="auto"/>
          <w:sz w:val="24"/>
          <w:szCs w:val="24"/>
        </w:rPr>
        <w:t>.0</w:t>
      </w:r>
      <w:r w:rsidR="001016B3" w:rsidRPr="006849EE">
        <w:rPr>
          <w:rFonts w:asciiTheme="majorHAnsi" w:hAnsiTheme="majorHAnsi" w:cs="Arial"/>
          <w:color w:val="auto"/>
          <w:sz w:val="24"/>
          <w:szCs w:val="24"/>
        </w:rPr>
        <w:t>5</w:t>
      </w:r>
      <w:r w:rsidRPr="006849EE">
        <w:rPr>
          <w:rFonts w:asciiTheme="majorHAnsi" w:hAnsiTheme="majorHAnsi" w:cs="Arial"/>
          <w:color w:val="auto"/>
          <w:sz w:val="24"/>
          <w:szCs w:val="24"/>
        </w:rPr>
        <w:t>.20</w:t>
      </w:r>
      <w:r w:rsidR="00DB738A" w:rsidRPr="006849EE">
        <w:rPr>
          <w:rFonts w:asciiTheme="majorHAnsi" w:hAnsiTheme="majorHAnsi" w:cs="Arial"/>
          <w:color w:val="auto"/>
          <w:sz w:val="24"/>
          <w:szCs w:val="24"/>
        </w:rPr>
        <w:t>2</w:t>
      </w:r>
      <w:r w:rsidR="001016B3" w:rsidRPr="006849EE">
        <w:rPr>
          <w:rFonts w:asciiTheme="majorHAnsi" w:hAnsiTheme="majorHAnsi" w:cs="Arial"/>
          <w:color w:val="auto"/>
          <w:sz w:val="24"/>
          <w:szCs w:val="24"/>
        </w:rPr>
        <w:t>5</w:t>
      </w:r>
      <w:r w:rsidRPr="006849EE">
        <w:rPr>
          <w:rFonts w:asciiTheme="majorHAnsi" w:hAnsiTheme="majorHAnsi" w:cs="Arial"/>
          <w:color w:val="auto"/>
          <w:sz w:val="24"/>
          <w:szCs w:val="24"/>
        </w:rPr>
        <w:t>. DVC has implemented the order in terms of the directions therein.</w:t>
      </w:r>
    </w:p>
    <w:p w14:paraId="28863DAE" w14:textId="77777777" w:rsidR="00C45B83" w:rsidRPr="006849EE" w:rsidRDefault="00C45B83" w:rsidP="00C45B83">
      <w:pPr>
        <w:pStyle w:val="ListParagraph"/>
        <w:tabs>
          <w:tab w:val="num" w:pos="720"/>
        </w:tabs>
        <w:ind w:hanging="720"/>
        <w:rPr>
          <w:rFonts w:asciiTheme="majorHAnsi" w:hAnsiTheme="majorHAnsi" w:cs="Arial"/>
          <w:color w:val="FF0000"/>
          <w:sz w:val="24"/>
          <w:szCs w:val="24"/>
        </w:rPr>
      </w:pPr>
    </w:p>
    <w:p w14:paraId="63FCCC23" w14:textId="405D4F97" w:rsidR="00D66999" w:rsidRPr="006849EE" w:rsidRDefault="002E3F4C" w:rsidP="00C45B83">
      <w:pPr>
        <w:numPr>
          <w:ilvl w:val="0"/>
          <w:numId w:val="1"/>
        </w:numPr>
        <w:tabs>
          <w:tab w:val="clear" w:pos="1080"/>
          <w:tab w:val="num" w:pos="720"/>
        </w:tabs>
        <w:spacing w:line="360" w:lineRule="auto"/>
        <w:ind w:left="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Since certain licensees (such as BSL at present) continue to receive supply in consumer/radial mode, DVC submits that, as per the Electricity Act, any licensee drawing supply in consumer mode through point-to-point wire connection is liable to be billed at consumer tariff and falls under the </w:t>
      </w:r>
      <w:r w:rsidR="00061354" w:rsidRPr="006849EE">
        <w:rPr>
          <w:rFonts w:asciiTheme="majorHAnsi" w:hAnsiTheme="majorHAnsi" w:cs="Arial"/>
          <w:color w:val="auto"/>
          <w:sz w:val="24"/>
          <w:szCs w:val="24"/>
        </w:rPr>
        <w:t>High-Tension</w:t>
      </w:r>
      <w:r w:rsidRPr="006849EE">
        <w:rPr>
          <w:rFonts w:asciiTheme="majorHAnsi" w:hAnsiTheme="majorHAnsi" w:cs="Arial"/>
          <w:color w:val="auto"/>
          <w:sz w:val="24"/>
          <w:szCs w:val="24"/>
        </w:rPr>
        <w:t xml:space="preserve"> Industry (HT) category. Accordingly, DVC prays that the tariff determined in the present proceedings may be applied to such licensees until they migrate to scheduled mode</w:t>
      </w:r>
      <w:r w:rsidR="62FD31B4" w:rsidRPr="006849EE">
        <w:rPr>
          <w:rFonts w:asciiTheme="majorHAnsi" w:hAnsiTheme="majorHAnsi" w:cs="Arial"/>
          <w:color w:val="auto"/>
          <w:sz w:val="24"/>
          <w:szCs w:val="24"/>
        </w:rPr>
        <w:t>.</w:t>
      </w:r>
    </w:p>
    <w:p w14:paraId="74303CCB" w14:textId="77777777" w:rsidR="00D66999" w:rsidRPr="006849EE" w:rsidRDefault="00D66999" w:rsidP="00D7510E">
      <w:pPr>
        <w:pStyle w:val="ListParagraph"/>
        <w:rPr>
          <w:rFonts w:asciiTheme="majorHAnsi" w:hAnsiTheme="majorHAnsi" w:cs="Arial"/>
          <w:color w:val="auto"/>
          <w:sz w:val="24"/>
          <w:szCs w:val="24"/>
        </w:rPr>
      </w:pPr>
    </w:p>
    <w:p w14:paraId="0B505A1E" w14:textId="77777777" w:rsidR="008657B4" w:rsidRPr="006849EE" w:rsidRDefault="008657B4" w:rsidP="008657B4">
      <w:pPr>
        <w:numPr>
          <w:ilvl w:val="0"/>
          <w:numId w:val="1"/>
        </w:numPr>
        <w:tabs>
          <w:tab w:val="clear" w:pos="1080"/>
          <w:tab w:val="num" w:pos="720"/>
        </w:tabs>
        <w:spacing w:line="360" w:lineRule="auto"/>
        <w:ind w:left="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In addition to above DVC also undertakes sale of electricity to the licensees situated outside its operational area in its capacity generally as a generating company.  This is bulk sale of electricity by a generating company to a distribution licensee within the meaning of Section 62 (1) (a) of the Electricity Act, 2003.  </w:t>
      </w:r>
    </w:p>
    <w:p w14:paraId="2541AF23" w14:textId="77777777" w:rsidR="00061354" w:rsidRPr="006849EE" w:rsidRDefault="00061354" w:rsidP="00061354">
      <w:pPr>
        <w:pStyle w:val="ListParagraph"/>
        <w:rPr>
          <w:rFonts w:asciiTheme="majorHAnsi" w:hAnsiTheme="majorHAnsi" w:cs="Arial"/>
          <w:color w:val="auto"/>
          <w:sz w:val="24"/>
          <w:szCs w:val="24"/>
        </w:rPr>
      </w:pPr>
    </w:p>
    <w:p w14:paraId="07FA37F7" w14:textId="77777777" w:rsidR="00061354" w:rsidRPr="006849EE" w:rsidRDefault="00061354" w:rsidP="00061354">
      <w:pPr>
        <w:spacing w:line="360" w:lineRule="auto"/>
        <w:ind w:left="720"/>
        <w:jc w:val="both"/>
        <w:rPr>
          <w:rFonts w:asciiTheme="majorHAnsi" w:hAnsiTheme="majorHAnsi" w:cs="Arial"/>
          <w:color w:val="auto"/>
          <w:sz w:val="24"/>
          <w:szCs w:val="24"/>
        </w:rPr>
      </w:pPr>
    </w:p>
    <w:p w14:paraId="07D8F4C5" w14:textId="51EF4024" w:rsidR="00A253A9" w:rsidRPr="006849EE" w:rsidRDefault="00A253A9" w:rsidP="00447315">
      <w:pPr>
        <w:spacing w:line="360" w:lineRule="auto"/>
        <w:jc w:val="both"/>
        <w:rPr>
          <w:rFonts w:asciiTheme="majorHAnsi" w:hAnsiTheme="majorHAnsi" w:cs="Arial"/>
          <w:b/>
          <w:bCs/>
          <w:color w:val="auto"/>
          <w:sz w:val="24"/>
          <w:szCs w:val="24"/>
        </w:rPr>
      </w:pPr>
      <w:r w:rsidRPr="006849EE">
        <w:rPr>
          <w:rFonts w:asciiTheme="majorHAnsi" w:hAnsiTheme="majorHAnsi" w:cs="Arial"/>
          <w:b/>
          <w:bCs/>
          <w:color w:val="auto"/>
          <w:sz w:val="24"/>
          <w:szCs w:val="24"/>
        </w:rPr>
        <w:t>Brief background for the petition</w:t>
      </w:r>
    </w:p>
    <w:p w14:paraId="51C43375" w14:textId="77777777" w:rsidR="00874A57" w:rsidRPr="006849EE" w:rsidRDefault="00874A57" w:rsidP="00874A57">
      <w:pPr>
        <w:pStyle w:val="ListParagraph"/>
        <w:rPr>
          <w:rFonts w:asciiTheme="majorHAnsi" w:hAnsiTheme="majorHAnsi" w:cs="Arial"/>
          <w:color w:val="auto"/>
          <w:sz w:val="24"/>
          <w:szCs w:val="24"/>
        </w:rPr>
      </w:pPr>
    </w:p>
    <w:p w14:paraId="1675EE0D" w14:textId="77777777" w:rsidR="00F5140A" w:rsidRPr="006849EE" w:rsidRDefault="00F5140A" w:rsidP="00F5140A">
      <w:pPr>
        <w:numPr>
          <w:ilvl w:val="0"/>
          <w:numId w:val="1"/>
        </w:numPr>
        <w:tabs>
          <w:tab w:val="clear" w:pos="1080"/>
          <w:tab w:val="num" w:pos="720"/>
        </w:tabs>
        <w:spacing w:line="360" w:lineRule="auto"/>
        <w:ind w:left="734" w:hanging="734"/>
        <w:jc w:val="both"/>
        <w:rPr>
          <w:rFonts w:asciiTheme="majorHAnsi" w:hAnsiTheme="majorHAnsi" w:cs="Arial"/>
          <w:color w:val="000000" w:themeColor="text1"/>
          <w:sz w:val="24"/>
          <w:szCs w:val="24"/>
        </w:rPr>
      </w:pPr>
      <w:r w:rsidRPr="006849EE">
        <w:rPr>
          <w:rFonts w:asciiTheme="majorHAnsi" w:hAnsiTheme="majorHAnsi" w:cs="Arial"/>
          <w:color w:val="000000" w:themeColor="text1"/>
          <w:sz w:val="24"/>
          <w:szCs w:val="24"/>
        </w:rPr>
        <w:t>DVC is submitting the present petition as a distribution licensee operating in the command area within the state of Jharkhand. In accordance with section 62, 64 and 86 of the Electricity Act 2003, the tariff for distribution and retail supply is to be determined by the Hon’ble Jharkhand State Electricity Regulatory Commission (</w:t>
      </w:r>
      <w:r w:rsidRPr="006849EE">
        <w:rPr>
          <w:rFonts w:asciiTheme="majorHAnsi" w:hAnsiTheme="majorHAnsi" w:cs="Arial"/>
          <w:b/>
          <w:bCs/>
          <w:color w:val="000000" w:themeColor="text1"/>
          <w:sz w:val="24"/>
          <w:szCs w:val="24"/>
        </w:rPr>
        <w:t>hereinafter referred as the Hon’ble “Commission</w:t>
      </w:r>
      <w:r w:rsidRPr="006849EE">
        <w:rPr>
          <w:rFonts w:asciiTheme="majorHAnsi" w:hAnsiTheme="majorHAnsi" w:cs="Arial"/>
          <w:color w:val="000000" w:themeColor="text1"/>
          <w:sz w:val="24"/>
          <w:szCs w:val="24"/>
        </w:rPr>
        <w:t xml:space="preserve">”). </w:t>
      </w:r>
    </w:p>
    <w:p w14:paraId="43FA444A" w14:textId="77777777" w:rsidR="007F12D7" w:rsidRPr="006849EE" w:rsidRDefault="007F12D7" w:rsidP="00F5140A">
      <w:pPr>
        <w:spacing w:line="360" w:lineRule="auto"/>
        <w:jc w:val="both"/>
        <w:rPr>
          <w:rFonts w:asciiTheme="majorHAnsi" w:hAnsiTheme="majorHAnsi" w:cs="Arial"/>
          <w:color w:val="FF0000"/>
          <w:sz w:val="24"/>
          <w:szCs w:val="24"/>
        </w:rPr>
      </w:pPr>
    </w:p>
    <w:p w14:paraId="15B5F2AF" w14:textId="77777777" w:rsidR="00323A8F" w:rsidRPr="006849EE" w:rsidRDefault="00323A8F" w:rsidP="00323A8F">
      <w:pPr>
        <w:numPr>
          <w:ilvl w:val="0"/>
          <w:numId w:val="1"/>
        </w:numPr>
        <w:shd w:val="clear" w:color="auto" w:fill="FFFFFF" w:themeFill="background1"/>
        <w:tabs>
          <w:tab w:val="clear" w:pos="1080"/>
        </w:tabs>
        <w:spacing w:line="360" w:lineRule="auto"/>
        <w:ind w:left="709" w:hanging="709"/>
        <w:jc w:val="both"/>
        <w:rPr>
          <w:rFonts w:asciiTheme="majorHAnsi" w:hAnsiTheme="majorHAnsi" w:cs="Times New Roman"/>
          <w:sz w:val="24"/>
          <w:szCs w:val="24"/>
        </w:rPr>
      </w:pPr>
      <w:r w:rsidRPr="006849EE">
        <w:rPr>
          <w:rFonts w:asciiTheme="majorHAnsi" w:hAnsiTheme="majorHAnsi" w:cs="Arial"/>
          <w:color w:val="auto"/>
          <w:sz w:val="24"/>
          <w:szCs w:val="24"/>
        </w:rPr>
        <w:t xml:space="preserve">At the outset, it is submitted that </w:t>
      </w:r>
      <w:r w:rsidRPr="006849EE">
        <w:rPr>
          <w:rFonts w:asciiTheme="majorHAnsi" w:hAnsiTheme="majorHAnsi" w:cs="Times New Roman"/>
          <w:sz w:val="24"/>
          <w:szCs w:val="24"/>
        </w:rPr>
        <w:t>DVC is a statutory body incorporated under the Damodar Valley Corporation Act, 1948, (“</w:t>
      </w:r>
      <w:r w:rsidRPr="006849EE">
        <w:rPr>
          <w:rFonts w:asciiTheme="majorHAnsi" w:hAnsiTheme="majorHAnsi" w:cs="Times New Roman"/>
          <w:b/>
          <w:bCs/>
          <w:sz w:val="24"/>
          <w:szCs w:val="24"/>
        </w:rPr>
        <w:t>DVC Act</w:t>
      </w:r>
      <w:r w:rsidRPr="006849EE">
        <w:rPr>
          <w:rFonts w:asciiTheme="majorHAnsi" w:hAnsiTheme="majorHAnsi" w:cs="Times New Roman"/>
          <w:sz w:val="24"/>
          <w:szCs w:val="24"/>
        </w:rPr>
        <w:t>”) having multifarious functions as stated below:</w:t>
      </w:r>
    </w:p>
    <w:p w14:paraId="002BCD9D" w14:textId="77777777" w:rsidR="00323A8F" w:rsidRPr="006849EE" w:rsidRDefault="00323A8F" w:rsidP="00323A8F">
      <w:pPr>
        <w:pStyle w:val="ListParagraph"/>
        <w:widowControl w:val="0"/>
        <w:numPr>
          <w:ilvl w:val="0"/>
          <w:numId w:val="27"/>
        </w:numPr>
        <w:spacing w:line="360" w:lineRule="auto"/>
        <w:ind w:left="1418" w:hanging="712"/>
        <w:contextualSpacing w:val="0"/>
        <w:jc w:val="both"/>
        <w:rPr>
          <w:rFonts w:asciiTheme="majorHAnsi" w:hAnsiTheme="majorHAnsi" w:cs="Times New Roman"/>
          <w:sz w:val="24"/>
          <w:szCs w:val="24"/>
        </w:rPr>
      </w:pPr>
      <w:r w:rsidRPr="006849EE">
        <w:rPr>
          <w:rFonts w:asciiTheme="majorHAnsi" w:hAnsiTheme="majorHAnsi" w:cs="Times New Roman"/>
          <w:sz w:val="24"/>
          <w:szCs w:val="24"/>
        </w:rPr>
        <w:t xml:space="preserve">DVC undertakes generation of electricity and is therefore a generating company within the meaning of Section 2 (28) of the Act. </w:t>
      </w:r>
    </w:p>
    <w:p w14:paraId="2B7BAFB1" w14:textId="77777777" w:rsidR="00323A8F" w:rsidRPr="006849EE" w:rsidRDefault="00323A8F" w:rsidP="00323A8F">
      <w:pPr>
        <w:pStyle w:val="ListParagraph"/>
        <w:widowControl w:val="0"/>
        <w:numPr>
          <w:ilvl w:val="0"/>
          <w:numId w:val="27"/>
        </w:numPr>
        <w:spacing w:line="360" w:lineRule="auto"/>
        <w:ind w:left="1418" w:hanging="712"/>
        <w:contextualSpacing w:val="0"/>
        <w:jc w:val="both"/>
        <w:rPr>
          <w:rFonts w:asciiTheme="majorHAnsi" w:hAnsiTheme="majorHAnsi" w:cs="Times New Roman"/>
          <w:sz w:val="24"/>
          <w:szCs w:val="24"/>
        </w:rPr>
      </w:pPr>
      <w:r w:rsidRPr="006849EE">
        <w:rPr>
          <w:rFonts w:asciiTheme="majorHAnsi" w:hAnsiTheme="majorHAnsi" w:cs="Times New Roman"/>
          <w:sz w:val="24"/>
          <w:szCs w:val="24"/>
        </w:rPr>
        <w:t xml:space="preserve">DVC undertakes the sale of electricity to beneficiaries outside the command area and to utilities like JBVNL and WBSEDCL in the command area using its own T&amp;D network and </w:t>
      </w:r>
      <w:r w:rsidRPr="006849EE">
        <w:rPr>
          <w:rFonts w:asciiTheme="majorHAnsi" w:hAnsiTheme="majorHAnsi" w:cs="Arial"/>
          <w:color w:val="auto"/>
          <w:sz w:val="24"/>
          <w:szCs w:val="24"/>
        </w:rPr>
        <w:t>each point of supply is governed by specific contract demands outlined in respective Power Purchase Agreements (“</w:t>
      </w:r>
      <w:r w:rsidRPr="006849EE">
        <w:rPr>
          <w:rFonts w:asciiTheme="majorHAnsi" w:hAnsiTheme="majorHAnsi" w:cs="Arial"/>
          <w:b/>
          <w:bCs/>
          <w:color w:val="auto"/>
          <w:sz w:val="24"/>
          <w:szCs w:val="24"/>
        </w:rPr>
        <w:t>PPAs</w:t>
      </w:r>
      <w:r w:rsidRPr="006849EE">
        <w:rPr>
          <w:rFonts w:asciiTheme="majorHAnsi" w:hAnsiTheme="majorHAnsi" w:cs="Arial"/>
          <w:color w:val="auto"/>
          <w:sz w:val="24"/>
          <w:szCs w:val="24"/>
        </w:rPr>
        <w:t>”), aligning with Section 62(1)(d) of the Act.</w:t>
      </w:r>
      <w:r w:rsidRPr="006849EE">
        <w:rPr>
          <w:rFonts w:asciiTheme="majorHAnsi" w:hAnsiTheme="majorHAnsi" w:cs="Times New Roman"/>
          <w:sz w:val="24"/>
          <w:szCs w:val="24"/>
        </w:rPr>
        <w:t xml:space="preserve"> </w:t>
      </w:r>
    </w:p>
    <w:p w14:paraId="4108918B" w14:textId="33649E3B" w:rsidR="003E3D58" w:rsidRPr="006849EE" w:rsidRDefault="00323A8F" w:rsidP="002B3F8E">
      <w:pPr>
        <w:pStyle w:val="ListParagraph"/>
        <w:widowControl w:val="0"/>
        <w:numPr>
          <w:ilvl w:val="0"/>
          <w:numId w:val="27"/>
        </w:numPr>
        <w:spacing w:line="360" w:lineRule="auto"/>
        <w:ind w:left="1418" w:hanging="712"/>
        <w:contextualSpacing w:val="0"/>
        <w:jc w:val="both"/>
        <w:rPr>
          <w:rFonts w:asciiTheme="majorHAnsi" w:hAnsiTheme="majorHAnsi" w:cs="Times New Roman"/>
          <w:sz w:val="24"/>
          <w:szCs w:val="24"/>
        </w:rPr>
      </w:pPr>
      <w:r w:rsidRPr="006849EE">
        <w:rPr>
          <w:rFonts w:asciiTheme="majorHAnsi" w:hAnsiTheme="majorHAnsi" w:cs="Times New Roman"/>
          <w:sz w:val="24"/>
          <w:szCs w:val="24"/>
        </w:rPr>
        <w:t xml:space="preserve">DVC undertakes transmission of electricity in the Damodar Valley area, which falls within the territorial limits of the two states namely, West Bengal and Jharkhand. DVC, therefore, also undertakes inter-state transmission of electricity and operates inter-state transmission system within the meaning of Section 2 (36) of the Act. </w:t>
      </w:r>
    </w:p>
    <w:p w14:paraId="29232337" w14:textId="77777777" w:rsidR="00757B77" w:rsidRPr="006849EE" w:rsidRDefault="00757B77" w:rsidP="00757B77">
      <w:pPr>
        <w:numPr>
          <w:ilvl w:val="0"/>
          <w:numId w:val="1"/>
        </w:numPr>
        <w:shd w:val="clear" w:color="auto" w:fill="FFFFFF" w:themeFill="background1"/>
        <w:tabs>
          <w:tab w:val="clear" w:pos="1080"/>
        </w:tabs>
        <w:spacing w:line="360" w:lineRule="auto"/>
        <w:ind w:left="709" w:hanging="709"/>
        <w:jc w:val="both"/>
        <w:rPr>
          <w:rFonts w:asciiTheme="majorHAnsi" w:hAnsiTheme="majorHAnsi" w:cs="Times New Roman"/>
          <w:sz w:val="24"/>
          <w:szCs w:val="24"/>
        </w:rPr>
      </w:pPr>
      <w:r w:rsidRPr="006849EE">
        <w:rPr>
          <w:rFonts w:asciiTheme="majorHAnsi" w:hAnsiTheme="majorHAnsi" w:cs="Times New Roman"/>
          <w:sz w:val="24"/>
          <w:szCs w:val="24"/>
        </w:rPr>
        <w:t>Under Section 79 (1) (a) of the Act, the tariff for generation of electricity is to be decided by the Central Electricity Regulatory Commission (“</w:t>
      </w:r>
      <w:r w:rsidRPr="006849EE">
        <w:rPr>
          <w:rFonts w:asciiTheme="majorHAnsi" w:hAnsiTheme="majorHAnsi" w:cs="Times New Roman"/>
          <w:b/>
          <w:sz w:val="24"/>
          <w:szCs w:val="24"/>
        </w:rPr>
        <w:t>Hon’ble CERC</w:t>
      </w:r>
      <w:r w:rsidRPr="006849EE">
        <w:rPr>
          <w:rFonts w:asciiTheme="majorHAnsi" w:hAnsiTheme="majorHAnsi" w:cs="Times New Roman"/>
          <w:sz w:val="24"/>
          <w:szCs w:val="24"/>
        </w:rPr>
        <w:t>”). Similarly, with regards to the inter-state transmission, DVC is regulated by Hon’ble CERC and tariff for composite (inter-state) generation &amp; transmission is to be determined by the Hon’ble CERC in terms of Section 79 (1) (c) and (d) of the Act.</w:t>
      </w:r>
    </w:p>
    <w:p w14:paraId="3820B1B9" w14:textId="77777777" w:rsidR="00713470" w:rsidRPr="006849EE" w:rsidRDefault="00757B77" w:rsidP="00757B77">
      <w:pPr>
        <w:numPr>
          <w:ilvl w:val="0"/>
          <w:numId w:val="1"/>
        </w:numPr>
        <w:tabs>
          <w:tab w:val="clear" w:pos="1080"/>
          <w:tab w:val="num" w:pos="720"/>
        </w:tabs>
        <w:spacing w:line="360" w:lineRule="auto"/>
        <w:ind w:left="734" w:hanging="734"/>
        <w:jc w:val="both"/>
        <w:rPr>
          <w:rFonts w:asciiTheme="majorHAnsi" w:hAnsiTheme="majorHAnsi" w:cs="Arial"/>
          <w:color w:val="FF0000"/>
          <w:sz w:val="24"/>
          <w:szCs w:val="24"/>
        </w:rPr>
      </w:pPr>
      <w:r w:rsidRPr="006849EE">
        <w:rPr>
          <w:rFonts w:asciiTheme="majorHAnsi" w:hAnsiTheme="majorHAnsi" w:cs="Times New Roman"/>
          <w:sz w:val="24"/>
          <w:szCs w:val="24"/>
        </w:rPr>
        <w:t xml:space="preserve">With regards to the retail </w:t>
      </w:r>
      <w:proofErr w:type="gramStart"/>
      <w:r w:rsidRPr="006849EE">
        <w:rPr>
          <w:rFonts w:asciiTheme="majorHAnsi" w:hAnsiTheme="majorHAnsi" w:cs="Times New Roman"/>
          <w:sz w:val="24"/>
          <w:szCs w:val="24"/>
        </w:rPr>
        <w:t>sale</w:t>
      </w:r>
      <w:proofErr w:type="gramEnd"/>
      <w:r w:rsidRPr="006849EE">
        <w:rPr>
          <w:rFonts w:asciiTheme="majorHAnsi" w:hAnsiTheme="majorHAnsi" w:cs="Times New Roman"/>
          <w:sz w:val="24"/>
          <w:szCs w:val="24"/>
        </w:rPr>
        <w:t xml:space="preserve"> and supply of electricity, DVC covers the entire Damodar Valley area which falls </w:t>
      </w:r>
      <w:proofErr w:type="gramStart"/>
      <w:r w:rsidRPr="006849EE">
        <w:rPr>
          <w:rFonts w:asciiTheme="majorHAnsi" w:hAnsiTheme="majorHAnsi" w:cs="Times New Roman"/>
          <w:sz w:val="24"/>
          <w:szCs w:val="24"/>
        </w:rPr>
        <w:t>in</w:t>
      </w:r>
      <w:proofErr w:type="gramEnd"/>
      <w:r w:rsidRPr="006849EE">
        <w:rPr>
          <w:rFonts w:asciiTheme="majorHAnsi" w:hAnsiTheme="majorHAnsi" w:cs="Times New Roman"/>
          <w:sz w:val="24"/>
          <w:szCs w:val="24"/>
        </w:rPr>
        <w:t xml:space="preserve"> two contiguous states, namely, the State of West Bengal and the State of Jharkhand. Thus, tariff for retail sale and supply of electricity in the Damodar Valley area is governed by the provisions of Section 62 (1) (d) read with Section 86 (1) (a) of the Act and </w:t>
      </w:r>
      <w:proofErr w:type="gramStart"/>
      <w:r w:rsidRPr="006849EE">
        <w:rPr>
          <w:rFonts w:asciiTheme="majorHAnsi" w:hAnsiTheme="majorHAnsi" w:cs="Times New Roman"/>
          <w:sz w:val="24"/>
          <w:szCs w:val="24"/>
        </w:rPr>
        <w:t>has to</w:t>
      </w:r>
      <w:proofErr w:type="gramEnd"/>
      <w:r w:rsidRPr="006849EE">
        <w:rPr>
          <w:rFonts w:asciiTheme="majorHAnsi" w:hAnsiTheme="majorHAnsi" w:cs="Times New Roman"/>
          <w:sz w:val="24"/>
          <w:szCs w:val="24"/>
        </w:rPr>
        <w:t xml:space="preserve"> be determined by the respective State Electricity Regulatory Commissions of West Bengal and Jharkhand. </w:t>
      </w:r>
      <w:r w:rsidRPr="006849EE">
        <w:rPr>
          <w:rFonts w:asciiTheme="majorHAnsi" w:hAnsiTheme="majorHAnsi" w:cs="Arial"/>
          <w:color w:val="auto"/>
          <w:sz w:val="24"/>
          <w:szCs w:val="24"/>
        </w:rPr>
        <w:t>Accordingly, the generation and transmission tariff of DVC as may be determined by CERC will be an input cost based on which the retail supply tariff is prepared</w:t>
      </w:r>
      <w:r w:rsidRPr="006849EE">
        <w:rPr>
          <w:rFonts w:asciiTheme="majorHAnsi" w:hAnsiTheme="majorHAnsi" w:cs="Times New Roman"/>
          <w:sz w:val="24"/>
          <w:szCs w:val="24"/>
        </w:rPr>
        <w:t xml:space="preserve">. </w:t>
      </w:r>
    </w:p>
    <w:p w14:paraId="00E1E535" w14:textId="1D673DE0" w:rsidR="00595BED" w:rsidRPr="006849EE" w:rsidRDefault="00757B77" w:rsidP="00757B77">
      <w:pPr>
        <w:numPr>
          <w:ilvl w:val="0"/>
          <w:numId w:val="1"/>
        </w:numPr>
        <w:tabs>
          <w:tab w:val="clear" w:pos="1080"/>
          <w:tab w:val="num" w:pos="720"/>
        </w:tabs>
        <w:spacing w:line="360" w:lineRule="auto"/>
        <w:ind w:left="734" w:hanging="734"/>
        <w:jc w:val="both"/>
        <w:rPr>
          <w:rFonts w:asciiTheme="majorHAnsi" w:hAnsiTheme="majorHAnsi" w:cs="Arial"/>
          <w:color w:val="FF0000"/>
          <w:sz w:val="24"/>
          <w:szCs w:val="24"/>
        </w:rPr>
      </w:pPr>
      <w:r w:rsidRPr="006849EE">
        <w:rPr>
          <w:rFonts w:asciiTheme="majorHAnsi" w:hAnsiTheme="majorHAnsi" w:cs="Arial"/>
          <w:color w:val="auto"/>
          <w:sz w:val="24"/>
          <w:szCs w:val="24"/>
        </w:rPr>
        <w:t>This Hon’ble Commission has already clarified the above position while passing tariff orders for DVC dated 22.11.2012 and 04.09.2014. Relevant portion of tariff orders passed by this Hon’ble Commission on 22.11.2012 and 04.09.2014 is attached herewith as</w:t>
      </w:r>
      <w:r w:rsidR="00713470" w:rsidRPr="006849EE">
        <w:rPr>
          <w:rFonts w:asciiTheme="majorHAnsi" w:hAnsiTheme="majorHAnsi" w:cs="Arial"/>
          <w:color w:val="auto"/>
          <w:sz w:val="24"/>
          <w:szCs w:val="24"/>
        </w:rPr>
        <w:t xml:space="preserve"> </w:t>
      </w:r>
      <w:r w:rsidR="00713470" w:rsidRPr="006849EE">
        <w:rPr>
          <w:rFonts w:asciiTheme="majorHAnsi" w:hAnsiTheme="majorHAnsi" w:cs="Arial"/>
          <w:b/>
          <w:bCs/>
          <w:color w:val="auto"/>
          <w:sz w:val="24"/>
          <w:szCs w:val="24"/>
        </w:rPr>
        <w:t>ANNEXURE</w:t>
      </w:r>
      <w:r w:rsidR="009E365F" w:rsidRPr="006849EE">
        <w:rPr>
          <w:rFonts w:asciiTheme="majorHAnsi" w:hAnsiTheme="majorHAnsi" w:cs="Arial"/>
          <w:b/>
          <w:bCs/>
          <w:color w:val="auto"/>
          <w:sz w:val="24"/>
          <w:szCs w:val="24"/>
        </w:rPr>
        <w:t>-</w:t>
      </w:r>
      <w:r w:rsidR="002A68CC" w:rsidRPr="006849EE">
        <w:rPr>
          <w:rFonts w:asciiTheme="majorHAnsi" w:hAnsiTheme="majorHAnsi" w:cs="Arial"/>
          <w:b/>
          <w:bCs/>
          <w:color w:val="auto"/>
          <w:sz w:val="24"/>
          <w:szCs w:val="24"/>
        </w:rPr>
        <w:t>1.</w:t>
      </w:r>
    </w:p>
    <w:p w14:paraId="2E218595" w14:textId="397FB6E7" w:rsidR="007642B4" w:rsidRPr="006849EE" w:rsidRDefault="00837EBE" w:rsidP="00D7510E">
      <w:pPr>
        <w:numPr>
          <w:ilvl w:val="0"/>
          <w:numId w:val="1"/>
        </w:numPr>
        <w:shd w:val="clear" w:color="auto" w:fill="FFFFFF" w:themeFill="background1"/>
        <w:tabs>
          <w:tab w:val="clear" w:pos="1080"/>
        </w:tabs>
        <w:spacing w:line="360" w:lineRule="auto"/>
        <w:ind w:left="709" w:hanging="709"/>
        <w:jc w:val="both"/>
        <w:rPr>
          <w:rFonts w:asciiTheme="majorHAnsi" w:hAnsiTheme="majorHAnsi" w:cs="Arial"/>
          <w:color w:val="auto"/>
          <w:sz w:val="24"/>
          <w:szCs w:val="24"/>
        </w:rPr>
      </w:pPr>
      <w:r w:rsidRPr="006849EE">
        <w:rPr>
          <w:rFonts w:asciiTheme="majorHAnsi" w:hAnsiTheme="majorHAnsi" w:cs="Arial"/>
          <w:color w:val="auto"/>
          <w:sz w:val="24"/>
          <w:szCs w:val="24"/>
        </w:rPr>
        <w:lastRenderedPageBreak/>
        <w:t xml:space="preserve">It is submitted that even after the Electricity Act </w:t>
      </w:r>
      <w:proofErr w:type="gramStart"/>
      <w:r w:rsidRPr="006849EE">
        <w:rPr>
          <w:rFonts w:asciiTheme="majorHAnsi" w:hAnsiTheme="majorHAnsi" w:cs="Arial"/>
          <w:color w:val="auto"/>
          <w:sz w:val="24"/>
          <w:szCs w:val="24"/>
        </w:rPr>
        <w:t>coming</w:t>
      </w:r>
      <w:proofErr w:type="gramEnd"/>
      <w:r w:rsidRPr="006849EE">
        <w:rPr>
          <w:rFonts w:asciiTheme="majorHAnsi" w:hAnsiTheme="majorHAnsi" w:cs="Arial"/>
          <w:color w:val="auto"/>
          <w:sz w:val="24"/>
          <w:szCs w:val="24"/>
        </w:rPr>
        <w:t xml:space="preserve"> </w:t>
      </w:r>
      <w:proofErr w:type="gramStart"/>
      <w:r w:rsidRPr="006849EE">
        <w:rPr>
          <w:rFonts w:asciiTheme="majorHAnsi" w:hAnsiTheme="majorHAnsi" w:cs="Arial"/>
          <w:color w:val="auto"/>
          <w:sz w:val="24"/>
          <w:szCs w:val="24"/>
        </w:rPr>
        <w:t>in to</w:t>
      </w:r>
      <w:proofErr w:type="gramEnd"/>
      <w:r w:rsidRPr="006849EE">
        <w:rPr>
          <w:rFonts w:asciiTheme="majorHAnsi" w:hAnsiTheme="majorHAnsi" w:cs="Arial"/>
          <w:color w:val="auto"/>
          <w:sz w:val="24"/>
          <w:szCs w:val="24"/>
        </w:rPr>
        <w:t xml:space="preserve"> force in 2003, DVC </w:t>
      </w:r>
      <w:proofErr w:type="gramStart"/>
      <w:r w:rsidRPr="006849EE">
        <w:rPr>
          <w:rFonts w:asciiTheme="majorHAnsi" w:hAnsiTheme="majorHAnsi" w:cs="Arial"/>
          <w:color w:val="auto"/>
          <w:sz w:val="24"/>
          <w:szCs w:val="24"/>
        </w:rPr>
        <w:t>Act,</w:t>
      </w:r>
      <w:proofErr w:type="gramEnd"/>
      <w:r w:rsidRPr="006849EE">
        <w:rPr>
          <w:rFonts w:asciiTheme="majorHAnsi" w:hAnsiTheme="majorHAnsi" w:cs="Arial"/>
          <w:color w:val="auto"/>
          <w:sz w:val="24"/>
          <w:szCs w:val="24"/>
        </w:rPr>
        <w:t xml:space="preserve"> continues to operate and the special provisions contained in Part IV of the said Act, being not inconsistent with the Electricity Act, remain fully applicable to DVC. Importantly, the Hon’ble Appellate Tribunal, in its judgment dated 23.11.2007 in Appeal Nos. 271, 272, 273 etc. of 2006, categorically held that only those tariff regulations framed under the Electricity Act which are consistent with the DVC Act can be applied to DVC, and that in case of conflict between Regulations and DVC Act, the provisions of the DVC Act shall prevail. This position was subsequently affirmed by the Hon’ble Supreme Court by its judgment dated 23.07.2018 in the connected Civil Appeals. Relevant extracts of both judgments are annexed as </w:t>
      </w:r>
      <w:r w:rsidRPr="006849EE">
        <w:rPr>
          <w:rFonts w:asciiTheme="majorHAnsi" w:hAnsiTheme="majorHAnsi" w:cs="Arial"/>
          <w:b/>
          <w:bCs/>
          <w:color w:val="auto"/>
          <w:sz w:val="24"/>
          <w:szCs w:val="24"/>
        </w:rPr>
        <w:t>ANNEXURE–2.</w:t>
      </w:r>
    </w:p>
    <w:p w14:paraId="570E6CAF" w14:textId="77777777" w:rsidR="007642B4" w:rsidRPr="006849EE" w:rsidRDefault="007642B4" w:rsidP="007642B4">
      <w:pPr>
        <w:pStyle w:val="ListParagraph"/>
        <w:rPr>
          <w:rFonts w:asciiTheme="majorHAnsi" w:hAnsiTheme="majorHAnsi" w:cs="Arial"/>
          <w:color w:val="auto"/>
          <w:sz w:val="24"/>
          <w:szCs w:val="24"/>
        </w:rPr>
      </w:pPr>
    </w:p>
    <w:p w14:paraId="5F6C6152" w14:textId="1EC5232D" w:rsidR="007642B4" w:rsidRPr="006849EE" w:rsidRDefault="007642B4" w:rsidP="00910FC9">
      <w:pPr>
        <w:numPr>
          <w:ilvl w:val="0"/>
          <w:numId w:val="1"/>
        </w:numPr>
        <w:tabs>
          <w:tab w:val="clear" w:pos="1080"/>
          <w:tab w:val="num" w:pos="735"/>
        </w:tabs>
        <w:spacing w:line="360" w:lineRule="auto"/>
        <w:ind w:left="734" w:hanging="734"/>
        <w:jc w:val="both"/>
        <w:rPr>
          <w:rStyle w:val="eop"/>
          <w:rFonts w:asciiTheme="majorHAnsi" w:hAnsiTheme="majorHAnsi" w:cs="Arial"/>
          <w:sz w:val="24"/>
          <w:szCs w:val="24"/>
        </w:rPr>
      </w:pPr>
      <w:r w:rsidRPr="006849EE">
        <w:rPr>
          <w:rStyle w:val="normaltextrun"/>
          <w:rFonts w:asciiTheme="majorHAnsi" w:hAnsiTheme="majorHAnsi" w:cs="Arial"/>
          <w:sz w:val="24"/>
          <w:szCs w:val="24"/>
        </w:rPr>
        <w:t xml:space="preserve">DVC </w:t>
      </w:r>
      <w:r w:rsidRPr="006849EE">
        <w:rPr>
          <w:rFonts w:asciiTheme="majorHAnsi" w:hAnsiTheme="majorHAnsi"/>
          <w:color w:val="auto"/>
          <w:sz w:val="24"/>
          <w:szCs w:val="24"/>
        </w:rPr>
        <w:t>would</w:t>
      </w:r>
      <w:r w:rsidRPr="006849EE">
        <w:rPr>
          <w:rStyle w:val="normaltextrun"/>
          <w:rFonts w:asciiTheme="majorHAnsi" w:hAnsiTheme="majorHAnsi" w:cs="Arial"/>
          <w:sz w:val="24"/>
          <w:szCs w:val="24"/>
        </w:rPr>
        <w:t xml:space="preserve"> also like to place on record that some issues related to tariff determination </w:t>
      </w:r>
      <w:r w:rsidRPr="006849EE">
        <w:rPr>
          <w:rStyle w:val="normaltextrun"/>
          <w:rFonts w:asciiTheme="majorHAnsi" w:hAnsiTheme="majorHAnsi" w:cs="Arial"/>
          <w:color w:val="000000" w:themeColor="text1"/>
          <w:sz w:val="24"/>
          <w:szCs w:val="24"/>
        </w:rPr>
        <w:t xml:space="preserve">have been appealed by the petitioner before the Hon’ble Appellate </w:t>
      </w:r>
      <w:r w:rsidRPr="006849EE">
        <w:rPr>
          <w:rStyle w:val="normaltextrun"/>
          <w:rFonts w:asciiTheme="majorHAnsi" w:hAnsiTheme="majorHAnsi" w:cs="Arial"/>
          <w:sz w:val="24"/>
          <w:szCs w:val="24"/>
        </w:rPr>
        <w:t>Tribunal and final decision on these appeals are still awaited. DVC has filed appeals before the Hon’ble Appellate Tribunal being the Appeal Nos. 163 of 2017 (on some aspects related to the JSERC tariff order dated 19.04.2017), 281 of 2018 (on issues related to the JSERC tariff order dated 18.05.2018), 441 of 2022 (on issues related to the JSERC tariff order dated 28.05.2019), 91 of 2021 (on issues related to the JSERC tariff order dated 30.09.2020). </w:t>
      </w:r>
      <w:r w:rsidR="0021668C" w:rsidRPr="006849EE">
        <w:rPr>
          <w:rFonts w:asciiTheme="majorHAnsi" w:hAnsiTheme="majorHAnsi" w:cs="Arial"/>
          <w:color w:val="auto"/>
          <w:sz w:val="24"/>
          <w:szCs w:val="24"/>
        </w:rPr>
        <w:t xml:space="preserve">507 of 2024 </w:t>
      </w:r>
      <w:r w:rsidR="0021668C" w:rsidRPr="006849EE">
        <w:rPr>
          <w:rStyle w:val="normaltextrun"/>
          <w:rFonts w:asciiTheme="majorHAnsi" w:hAnsiTheme="majorHAnsi" w:cs="Arial"/>
          <w:sz w:val="24"/>
          <w:szCs w:val="24"/>
        </w:rPr>
        <w:t>(on issues related to the tariff Order dated 22.01.2024)</w:t>
      </w:r>
      <w:r w:rsidR="0021668C" w:rsidRPr="006849EE">
        <w:rPr>
          <w:rFonts w:asciiTheme="majorHAnsi" w:hAnsiTheme="majorHAnsi" w:cs="Arial"/>
          <w:color w:val="auto"/>
          <w:sz w:val="24"/>
          <w:szCs w:val="24"/>
        </w:rPr>
        <w:t xml:space="preserve">, 74 of 2025 </w:t>
      </w:r>
      <w:r w:rsidR="0021668C" w:rsidRPr="006849EE">
        <w:rPr>
          <w:rStyle w:val="normaltextrun"/>
          <w:rFonts w:asciiTheme="majorHAnsi" w:hAnsiTheme="majorHAnsi" w:cs="Arial"/>
          <w:sz w:val="24"/>
          <w:szCs w:val="24"/>
        </w:rPr>
        <w:t>(on issues related to the tariff Order dated 22.01.2024)</w:t>
      </w:r>
      <w:r w:rsidR="0021668C" w:rsidRPr="006849EE">
        <w:rPr>
          <w:rFonts w:asciiTheme="majorHAnsi" w:hAnsiTheme="majorHAnsi" w:cs="Arial"/>
          <w:color w:val="auto"/>
          <w:sz w:val="24"/>
          <w:szCs w:val="24"/>
        </w:rPr>
        <w:t xml:space="preserve"> &amp;</w:t>
      </w:r>
      <w:r w:rsidR="0021668C" w:rsidRPr="006849EE">
        <w:rPr>
          <w:rFonts w:asciiTheme="majorHAnsi" w:hAnsiTheme="majorHAnsi" w:cs="Arial"/>
          <w:b/>
          <w:bCs/>
          <w:color w:val="auto"/>
          <w:sz w:val="24"/>
          <w:szCs w:val="24"/>
        </w:rPr>
        <w:t xml:space="preserve"> </w:t>
      </w:r>
      <w:r w:rsidR="0021668C" w:rsidRPr="006849EE">
        <w:rPr>
          <w:rStyle w:val="normaltextrun"/>
          <w:rFonts w:asciiTheme="majorHAnsi" w:hAnsiTheme="majorHAnsi" w:cs="Arial"/>
          <w:sz w:val="24"/>
          <w:szCs w:val="24"/>
        </w:rPr>
        <w:t xml:space="preserve">227 of 2025 (on issues related to the tariff Order dated 27.05.2025). </w:t>
      </w:r>
      <w:r w:rsidRPr="006849EE">
        <w:rPr>
          <w:rStyle w:val="normaltextrun"/>
          <w:rFonts w:asciiTheme="majorHAnsi" w:hAnsiTheme="majorHAnsi" w:cs="Arial"/>
          <w:sz w:val="24"/>
          <w:szCs w:val="24"/>
        </w:rPr>
        <w:t xml:space="preserve"> </w:t>
      </w:r>
      <w:proofErr w:type="gramStart"/>
      <w:r w:rsidRPr="006849EE">
        <w:rPr>
          <w:rStyle w:val="normaltextrun"/>
          <w:rFonts w:asciiTheme="majorHAnsi" w:hAnsiTheme="majorHAnsi" w:cs="Arial"/>
          <w:sz w:val="24"/>
          <w:szCs w:val="24"/>
        </w:rPr>
        <w:t>The</w:t>
      </w:r>
      <w:proofErr w:type="gramEnd"/>
      <w:r w:rsidRPr="006849EE">
        <w:rPr>
          <w:rStyle w:val="normaltextrun"/>
          <w:rFonts w:asciiTheme="majorHAnsi" w:hAnsiTheme="majorHAnsi" w:cs="Arial"/>
          <w:sz w:val="24"/>
          <w:szCs w:val="24"/>
        </w:rPr>
        <w:t xml:space="preserve"> summary of the matters appealed is provided below:</w:t>
      </w:r>
      <w:r w:rsidRPr="006849EE">
        <w:rPr>
          <w:rStyle w:val="eop"/>
          <w:rFonts w:asciiTheme="majorHAnsi" w:hAnsiTheme="majorHAnsi" w:cs="Arial"/>
          <w:sz w:val="24"/>
          <w:szCs w:val="24"/>
        </w:rPr>
        <w:t> </w:t>
      </w:r>
    </w:p>
    <w:p w14:paraId="5BDE6845" w14:textId="77777777" w:rsidR="007642B4" w:rsidRPr="006849EE" w:rsidRDefault="007642B4" w:rsidP="00B90377">
      <w:pPr>
        <w:pStyle w:val="ListParagraph"/>
        <w:numPr>
          <w:ilvl w:val="0"/>
          <w:numId w:val="10"/>
        </w:numPr>
        <w:spacing w:line="360" w:lineRule="auto"/>
        <w:jc w:val="both"/>
        <w:rPr>
          <w:rFonts w:asciiTheme="majorHAnsi" w:hAnsiTheme="majorHAnsi" w:cs="Arial"/>
          <w:sz w:val="24"/>
          <w:szCs w:val="24"/>
        </w:rPr>
      </w:pPr>
      <w:r w:rsidRPr="006849EE">
        <w:rPr>
          <w:rStyle w:val="normaltextrun"/>
          <w:rFonts w:asciiTheme="majorHAnsi" w:hAnsiTheme="majorHAnsi" w:cs="Arial"/>
          <w:sz w:val="24"/>
          <w:szCs w:val="24"/>
        </w:rPr>
        <w:t>DVC preferred Appeal No. 163 of 2017 on the following grounds:</w:t>
      </w:r>
      <w:r w:rsidRPr="006849EE">
        <w:rPr>
          <w:rStyle w:val="eop"/>
          <w:rFonts w:asciiTheme="majorHAnsi" w:hAnsiTheme="majorHAnsi" w:cs="Arial"/>
          <w:sz w:val="24"/>
          <w:szCs w:val="24"/>
        </w:rPr>
        <w:t> </w:t>
      </w:r>
    </w:p>
    <w:p w14:paraId="7E5304F7"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Impact of pay revision for the period FY 2006-09 </w:t>
      </w:r>
      <w:proofErr w:type="gramStart"/>
      <w:r w:rsidRPr="006849EE">
        <w:rPr>
          <w:rStyle w:val="normaltextrun"/>
          <w:rFonts w:asciiTheme="majorHAnsi" w:hAnsiTheme="majorHAnsi" w:cs="Arial"/>
        </w:rPr>
        <w:t>disallowed;</w:t>
      </w:r>
      <w:proofErr w:type="gramEnd"/>
      <w:r w:rsidRPr="006849EE">
        <w:rPr>
          <w:rStyle w:val="eop"/>
          <w:rFonts w:asciiTheme="majorHAnsi" w:hAnsiTheme="majorHAnsi" w:cs="Arial"/>
        </w:rPr>
        <w:t> </w:t>
      </w:r>
    </w:p>
    <w:p w14:paraId="51F27922"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Carrying cost computed based on compound rate of interest in place of simple interest,</w:t>
      </w:r>
      <w:r w:rsidRPr="006849EE">
        <w:rPr>
          <w:rStyle w:val="eop"/>
          <w:rFonts w:asciiTheme="majorHAnsi" w:hAnsiTheme="majorHAnsi" w:cs="Arial"/>
        </w:rPr>
        <w:t> </w:t>
      </w:r>
    </w:p>
    <w:p w14:paraId="5E1DDB80"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Recovery of the contribution to Pension &amp; Gratuity(P&amp;G) Fund and Sinking fund allowed based on Plant/Transmission Availability Factor during 2009-10 to </w:t>
      </w:r>
      <w:proofErr w:type="gramStart"/>
      <w:r w:rsidRPr="006849EE">
        <w:rPr>
          <w:rStyle w:val="normaltextrun"/>
          <w:rFonts w:asciiTheme="majorHAnsi" w:hAnsiTheme="majorHAnsi" w:cs="Arial"/>
        </w:rPr>
        <w:t>2014-15;</w:t>
      </w:r>
      <w:proofErr w:type="gramEnd"/>
      <w:r w:rsidRPr="006849EE">
        <w:rPr>
          <w:rStyle w:val="eop"/>
          <w:rFonts w:asciiTheme="majorHAnsi" w:hAnsiTheme="majorHAnsi" w:cs="Arial"/>
        </w:rPr>
        <w:t> </w:t>
      </w:r>
    </w:p>
    <w:p w14:paraId="3A7AA8A6"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Actual transmission &amp; distribution (T&amp;D) loss not considered for FY 2012-13 to </w:t>
      </w:r>
      <w:proofErr w:type="gramStart"/>
      <w:r w:rsidRPr="006849EE">
        <w:rPr>
          <w:rStyle w:val="normaltextrun"/>
          <w:rFonts w:asciiTheme="majorHAnsi" w:hAnsiTheme="majorHAnsi" w:cs="Arial"/>
        </w:rPr>
        <w:t>2014-15;</w:t>
      </w:r>
      <w:proofErr w:type="gramEnd"/>
      <w:r w:rsidRPr="006849EE">
        <w:rPr>
          <w:rStyle w:val="eop"/>
          <w:rFonts w:asciiTheme="majorHAnsi" w:hAnsiTheme="majorHAnsi" w:cs="Arial"/>
        </w:rPr>
        <w:t> </w:t>
      </w:r>
    </w:p>
    <w:p w14:paraId="0EA4B868"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A part of power purchase cost disallowed during FY 2012-13 to FY </w:t>
      </w:r>
      <w:proofErr w:type="gramStart"/>
      <w:r w:rsidRPr="006849EE">
        <w:rPr>
          <w:rStyle w:val="normaltextrun"/>
          <w:rFonts w:asciiTheme="majorHAnsi" w:hAnsiTheme="majorHAnsi" w:cs="Arial"/>
        </w:rPr>
        <w:t>2014-15;</w:t>
      </w:r>
      <w:proofErr w:type="gramEnd"/>
      <w:r w:rsidRPr="006849EE">
        <w:rPr>
          <w:rStyle w:val="eop"/>
          <w:rFonts w:asciiTheme="majorHAnsi" w:hAnsiTheme="majorHAnsi" w:cs="Arial"/>
        </w:rPr>
        <w:t> </w:t>
      </w:r>
    </w:p>
    <w:p w14:paraId="604327ED"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lastRenderedPageBreak/>
        <w:t xml:space="preserve">Computation of Revenue Gap / Surplus based on Revenue Assessed and Revenue Billed in place of Revenue </w:t>
      </w:r>
      <w:proofErr w:type="gramStart"/>
      <w:r w:rsidRPr="006849EE">
        <w:rPr>
          <w:rStyle w:val="normaltextrun"/>
          <w:rFonts w:asciiTheme="majorHAnsi" w:hAnsiTheme="majorHAnsi" w:cs="Arial"/>
        </w:rPr>
        <w:t>Realized;</w:t>
      </w:r>
      <w:proofErr w:type="gramEnd"/>
      <w:r w:rsidRPr="006849EE">
        <w:rPr>
          <w:rStyle w:val="eop"/>
          <w:rFonts w:asciiTheme="majorHAnsi" w:hAnsiTheme="majorHAnsi" w:cs="Arial"/>
        </w:rPr>
        <w:t> </w:t>
      </w:r>
    </w:p>
    <w:p w14:paraId="0B5F8724" w14:textId="77777777" w:rsidR="007642B4" w:rsidRPr="006849EE" w:rsidRDefault="007642B4" w:rsidP="00B90377">
      <w:pPr>
        <w:pStyle w:val="paragraph"/>
        <w:numPr>
          <w:ilvl w:val="0"/>
          <w:numId w:val="6"/>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Consideration of 100% collection efficiency without considering the implication of bad and doubtful debts; etc.</w:t>
      </w:r>
      <w:r w:rsidRPr="006849EE">
        <w:rPr>
          <w:rStyle w:val="eop"/>
          <w:rFonts w:asciiTheme="majorHAnsi" w:hAnsiTheme="majorHAnsi" w:cs="Arial"/>
        </w:rPr>
        <w:t> </w:t>
      </w:r>
    </w:p>
    <w:p w14:paraId="6AD033F6" w14:textId="77777777" w:rsidR="007642B4" w:rsidRPr="006849EE" w:rsidRDefault="007642B4" w:rsidP="00B90377">
      <w:pPr>
        <w:pStyle w:val="ListParagraph"/>
        <w:numPr>
          <w:ilvl w:val="0"/>
          <w:numId w:val="10"/>
        </w:numPr>
        <w:spacing w:line="360" w:lineRule="auto"/>
        <w:jc w:val="both"/>
        <w:rPr>
          <w:rFonts w:asciiTheme="majorHAnsi" w:hAnsiTheme="majorHAnsi" w:cs="Arial"/>
          <w:sz w:val="24"/>
          <w:szCs w:val="24"/>
        </w:rPr>
      </w:pPr>
      <w:r w:rsidRPr="006849EE">
        <w:rPr>
          <w:rStyle w:val="normaltextrun"/>
          <w:rFonts w:asciiTheme="majorHAnsi" w:hAnsiTheme="majorHAnsi" w:cs="Arial"/>
          <w:sz w:val="24"/>
          <w:szCs w:val="24"/>
        </w:rPr>
        <w:t xml:space="preserve">DVC preferred Appeal No. 281 of 2018 on the following </w:t>
      </w:r>
      <w:proofErr w:type="gramStart"/>
      <w:r w:rsidRPr="006849EE">
        <w:rPr>
          <w:rStyle w:val="normaltextrun"/>
          <w:rFonts w:asciiTheme="majorHAnsi" w:hAnsiTheme="majorHAnsi" w:cs="Arial"/>
          <w:sz w:val="24"/>
          <w:szCs w:val="24"/>
        </w:rPr>
        <w:t>grounds;</w:t>
      </w:r>
      <w:proofErr w:type="gramEnd"/>
      <w:r w:rsidRPr="006849EE">
        <w:rPr>
          <w:rStyle w:val="eop"/>
          <w:rFonts w:asciiTheme="majorHAnsi" w:hAnsiTheme="majorHAnsi" w:cs="Arial"/>
          <w:sz w:val="24"/>
          <w:szCs w:val="24"/>
        </w:rPr>
        <w:t> </w:t>
      </w:r>
    </w:p>
    <w:p w14:paraId="506653EF" w14:textId="77777777" w:rsidR="007642B4" w:rsidRPr="006849EE" w:rsidRDefault="007642B4" w:rsidP="00B90377">
      <w:pPr>
        <w:pStyle w:val="paragraph"/>
        <w:numPr>
          <w:ilvl w:val="0"/>
          <w:numId w:val="7"/>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part of power purchase cost disallowed during FY 2015-16 and during the MYT period 2016-17 to </w:t>
      </w:r>
      <w:proofErr w:type="gramStart"/>
      <w:r w:rsidRPr="006849EE">
        <w:rPr>
          <w:rStyle w:val="normaltextrun"/>
          <w:rFonts w:asciiTheme="majorHAnsi" w:hAnsiTheme="majorHAnsi" w:cs="Arial"/>
        </w:rPr>
        <w:t>2020-21;</w:t>
      </w:r>
      <w:proofErr w:type="gramEnd"/>
      <w:r w:rsidRPr="006849EE">
        <w:rPr>
          <w:rStyle w:val="eop"/>
          <w:rFonts w:asciiTheme="majorHAnsi" w:hAnsiTheme="majorHAnsi" w:cs="Arial"/>
        </w:rPr>
        <w:t> </w:t>
      </w:r>
    </w:p>
    <w:p w14:paraId="00AEE380" w14:textId="77777777" w:rsidR="007642B4" w:rsidRPr="006849EE" w:rsidRDefault="007642B4" w:rsidP="00B90377">
      <w:pPr>
        <w:pStyle w:val="paragraph"/>
        <w:numPr>
          <w:ilvl w:val="0"/>
          <w:numId w:val="7"/>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Carrying cost computed based on compound rate of interest in place of simple interest rate,</w:t>
      </w:r>
      <w:r w:rsidRPr="006849EE">
        <w:rPr>
          <w:rStyle w:val="eop"/>
          <w:rFonts w:asciiTheme="majorHAnsi" w:hAnsiTheme="majorHAnsi" w:cs="Arial"/>
        </w:rPr>
        <w:t> </w:t>
      </w:r>
    </w:p>
    <w:p w14:paraId="505A59A6" w14:textId="77777777" w:rsidR="007642B4" w:rsidRPr="006849EE" w:rsidRDefault="007642B4" w:rsidP="00B90377">
      <w:pPr>
        <w:pStyle w:val="paragraph"/>
        <w:numPr>
          <w:ilvl w:val="0"/>
          <w:numId w:val="7"/>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Recovery of the contribution to Sinking fund allowed based on Plant / Transmission Availability Factor during 2015-16 and during the MYT </w:t>
      </w:r>
      <w:proofErr w:type="gramStart"/>
      <w:r w:rsidRPr="006849EE">
        <w:rPr>
          <w:rStyle w:val="normaltextrun"/>
          <w:rFonts w:asciiTheme="majorHAnsi" w:hAnsiTheme="majorHAnsi" w:cs="Arial"/>
        </w:rPr>
        <w:t>period;</w:t>
      </w:r>
      <w:proofErr w:type="gramEnd"/>
      <w:r w:rsidRPr="006849EE">
        <w:rPr>
          <w:rStyle w:val="eop"/>
          <w:rFonts w:asciiTheme="majorHAnsi" w:hAnsiTheme="majorHAnsi" w:cs="Arial"/>
        </w:rPr>
        <w:t> </w:t>
      </w:r>
    </w:p>
    <w:p w14:paraId="352E1F55" w14:textId="77777777" w:rsidR="007642B4" w:rsidRPr="006849EE" w:rsidRDefault="007642B4" w:rsidP="00B90377">
      <w:pPr>
        <w:pStyle w:val="paragraph"/>
        <w:numPr>
          <w:ilvl w:val="0"/>
          <w:numId w:val="7"/>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Non-consideration of actual transmission &amp; distribution (T&amp;D) loss for FY </w:t>
      </w:r>
      <w:proofErr w:type="gramStart"/>
      <w:r w:rsidRPr="006849EE">
        <w:rPr>
          <w:rStyle w:val="normaltextrun"/>
          <w:rFonts w:asciiTheme="majorHAnsi" w:hAnsiTheme="majorHAnsi" w:cs="Arial"/>
        </w:rPr>
        <w:t>2015-16;</w:t>
      </w:r>
      <w:proofErr w:type="gramEnd"/>
      <w:r w:rsidRPr="006849EE">
        <w:rPr>
          <w:rStyle w:val="eop"/>
          <w:rFonts w:asciiTheme="majorHAnsi" w:hAnsiTheme="majorHAnsi" w:cs="Arial"/>
        </w:rPr>
        <w:t> </w:t>
      </w:r>
    </w:p>
    <w:p w14:paraId="4574BFA5" w14:textId="77777777" w:rsidR="007642B4" w:rsidRPr="006849EE" w:rsidRDefault="007642B4" w:rsidP="00B90377">
      <w:pPr>
        <w:pStyle w:val="paragraph"/>
        <w:numPr>
          <w:ilvl w:val="0"/>
          <w:numId w:val="7"/>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Computation of Revenue Gap / Surplus based on Revenue Assessed and Revenue Billed in place of Revenue </w:t>
      </w:r>
      <w:proofErr w:type="gramStart"/>
      <w:r w:rsidRPr="006849EE">
        <w:rPr>
          <w:rStyle w:val="normaltextrun"/>
          <w:rFonts w:asciiTheme="majorHAnsi" w:hAnsiTheme="majorHAnsi" w:cs="Arial"/>
        </w:rPr>
        <w:t>Realized;</w:t>
      </w:r>
      <w:proofErr w:type="gramEnd"/>
      <w:r w:rsidRPr="006849EE">
        <w:rPr>
          <w:rStyle w:val="eop"/>
          <w:rFonts w:asciiTheme="majorHAnsi" w:hAnsiTheme="majorHAnsi" w:cs="Arial"/>
        </w:rPr>
        <w:t> </w:t>
      </w:r>
    </w:p>
    <w:p w14:paraId="2AE8E686" w14:textId="77777777" w:rsidR="007642B4" w:rsidRPr="006849EE" w:rsidRDefault="007642B4" w:rsidP="00B90377">
      <w:pPr>
        <w:pStyle w:val="paragraph"/>
        <w:numPr>
          <w:ilvl w:val="0"/>
          <w:numId w:val="7"/>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Consideration of 100% collection efficiency without considering the implication of bad and doubtful debts; etc.</w:t>
      </w:r>
      <w:r w:rsidRPr="006849EE">
        <w:rPr>
          <w:rStyle w:val="eop"/>
          <w:rFonts w:asciiTheme="majorHAnsi" w:hAnsiTheme="majorHAnsi" w:cs="Arial"/>
        </w:rPr>
        <w:t> </w:t>
      </w:r>
    </w:p>
    <w:p w14:paraId="43E06464" w14:textId="77777777" w:rsidR="007642B4" w:rsidRPr="006849EE" w:rsidRDefault="007642B4" w:rsidP="00B90377">
      <w:pPr>
        <w:pStyle w:val="ListParagraph"/>
        <w:numPr>
          <w:ilvl w:val="0"/>
          <w:numId w:val="10"/>
        </w:numPr>
        <w:spacing w:line="360" w:lineRule="auto"/>
        <w:jc w:val="both"/>
        <w:rPr>
          <w:rFonts w:asciiTheme="majorHAnsi" w:hAnsiTheme="majorHAnsi" w:cs="Arial"/>
          <w:sz w:val="24"/>
          <w:szCs w:val="24"/>
        </w:rPr>
      </w:pPr>
      <w:r w:rsidRPr="006849EE">
        <w:rPr>
          <w:rStyle w:val="normaltextrun"/>
          <w:rFonts w:asciiTheme="majorHAnsi" w:hAnsiTheme="majorHAnsi" w:cs="Arial"/>
          <w:sz w:val="24"/>
          <w:szCs w:val="24"/>
        </w:rPr>
        <w:t xml:space="preserve">DVC preferred Appeal No. 441 of 2022 (DFR no. 383 of 2020) on the following </w:t>
      </w:r>
      <w:proofErr w:type="gramStart"/>
      <w:r w:rsidRPr="006849EE">
        <w:rPr>
          <w:rStyle w:val="normaltextrun"/>
          <w:rFonts w:asciiTheme="majorHAnsi" w:hAnsiTheme="majorHAnsi" w:cs="Arial"/>
          <w:sz w:val="24"/>
          <w:szCs w:val="24"/>
        </w:rPr>
        <w:t>grounds;</w:t>
      </w:r>
      <w:proofErr w:type="gramEnd"/>
      <w:r w:rsidRPr="006849EE">
        <w:rPr>
          <w:rStyle w:val="eop"/>
          <w:rFonts w:asciiTheme="majorHAnsi" w:hAnsiTheme="majorHAnsi" w:cs="Arial"/>
          <w:sz w:val="24"/>
          <w:szCs w:val="24"/>
        </w:rPr>
        <w:t> </w:t>
      </w:r>
    </w:p>
    <w:p w14:paraId="127835A2" w14:textId="77777777" w:rsidR="007642B4" w:rsidRPr="006849EE" w:rsidRDefault="007642B4" w:rsidP="00B90377">
      <w:pPr>
        <w:pStyle w:val="paragraph"/>
        <w:numPr>
          <w:ilvl w:val="0"/>
          <w:numId w:val="8"/>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Carrying cost computed based on compound rate interest in place of simple interest rate,</w:t>
      </w:r>
      <w:r w:rsidRPr="006849EE">
        <w:rPr>
          <w:rStyle w:val="eop"/>
          <w:rFonts w:asciiTheme="majorHAnsi" w:hAnsiTheme="majorHAnsi" w:cs="Arial"/>
        </w:rPr>
        <w:t> </w:t>
      </w:r>
    </w:p>
    <w:p w14:paraId="28AE5182" w14:textId="77777777" w:rsidR="007642B4" w:rsidRPr="006849EE" w:rsidRDefault="007642B4" w:rsidP="00B90377">
      <w:pPr>
        <w:pStyle w:val="paragraph"/>
        <w:numPr>
          <w:ilvl w:val="0"/>
          <w:numId w:val="8"/>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Recovery of the contribution to Sinking fund allowed based on Plant / Transmission Availability Factor during 2016-17 to </w:t>
      </w:r>
      <w:proofErr w:type="gramStart"/>
      <w:r w:rsidRPr="006849EE">
        <w:rPr>
          <w:rStyle w:val="normaltextrun"/>
          <w:rFonts w:asciiTheme="majorHAnsi" w:hAnsiTheme="majorHAnsi" w:cs="Arial"/>
        </w:rPr>
        <w:t>2019-20;</w:t>
      </w:r>
      <w:proofErr w:type="gramEnd"/>
      <w:r w:rsidRPr="006849EE">
        <w:rPr>
          <w:rStyle w:val="eop"/>
          <w:rFonts w:asciiTheme="majorHAnsi" w:hAnsiTheme="majorHAnsi" w:cs="Arial"/>
        </w:rPr>
        <w:t> </w:t>
      </w:r>
    </w:p>
    <w:p w14:paraId="4279B0E8" w14:textId="77777777" w:rsidR="007642B4" w:rsidRPr="006849EE" w:rsidRDefault="007642B4" w:rsidP="00B90377">
      <w:pPr>
        <w:pStyle w:val="paragraph"/>
        <w:numPr>
          <w:ilvl w:val="0"/>
          <w:numId w:val="8"/>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Non-consideration of actual transmission &amp; distribution (T&amp;D) loss for FY 2017-18 to </w:t>
      </w:r>
      <w:proofErr w:type="gramStart"/>
      <w:r w:rsidRPr="006849EE">
        <w:rPr>
          <w:rStyle w:val="normaltextrun"/>
          <w:rFonts w:asciiTheme="majorHAnsi" w:hAnsiTheme="majorHAnsi" w:cs="Arial"/>
        </w:rPr>
        <w:t>2019-20;</w:t>
      </w:r>
      <w:proofErr w:type="gramEnd"/>
      <w:r w:rsidRPr="006849EE">
        <w:rPr>
          <w:rStyle w:val="eop"/>
          <w:rFonts w:asciiTheme="majorHAnsi" w:hAnsiTheme="majorHAnsi" w:cs="Arial"/>
        </w:rPr>
        <w:t> </w:t>
      </w:r>
    </w:p>
    <w:p w14:paraId="51849576" w14:textId="77777777" w:rsidR="007642B4" w:rsidRPr="006849EE" w:rsidRDefault="007642B4" w:rsidP="00B90377">
      <w:pPr>
        <w:pStyle w:val="paragraph"/>
        <w:numPr>
          <w:ilvl w:val="0"/>
          <w:numId w:val="8"/>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Disallowance of Cyber Security expenses for FY 2017-18</w:t>
      </w:r>
      <w:r w:rsidRPr="006849EE">
        <w:rPr>
          <w:rStyle w:val="eop"/>
          <w:rFonts w:asciiTheme="majorHAnsi" w:hAnsiTheme="majorHAnsi" w:cs="Arial"/>
        </w:rPr>
        <w:t> </w:t>
      </w:r>
    </w:p>
    <w:p w14:paraId="6666C042" w14:textId="77777777" w:rsidR="007642B4" w:rsidRPr="006849EE" w:rsidRDefault="007642B4" w:rsidP="00B90377">
      <w:pPr>
        <w:pStyle w:val="paragraph"/>
        <w:numPr>
          <w:ilvl w:val="0"/>
          <w:numId w:val="8"/>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Disallowance of contingency power purchase for FY 2018-19 and 2019-20.</w:t>
      </w:r>
      <w:r w:rsidRPr="006849EE">
        <w:rPr>
          <w:rStyle w:val="eop"/>
          <w:rFonts w:asciiTheme="majorHAnsi" w:hAnsiTheme="majorHAnsi" w:cs="Arial"/>
        </w:rPr>
        <w:t> </w:t>
      </w:r>
    </w:p>
    <w:p w14:paraId="0EEA8F81" w14:textId="77777777" w:rsidR="007642B4" w:rsidRPr="006849EE" w:rsidRDefault="007642B4" w:rsidP="00B90377">
      <w:pPr>
        <w:pStyle w:val="ListParagraph"/>
        <w:numPr>
          <w:ilvl w:val="0"/>
          <w:numId w:val="10"/>
        </w:numPr>
        <w:spacing w:line="360" w:lineRule="auto"/>
        <w:jc w:val="both"/>
        <w:rPr>
          <w:rFonts w:asciiTheme="majorHAnsi" w:hAnsiTheme="majorHAnsi" w:cs="Arial"/>
          <w:sz w:val="24"/>
          <w:szCs w:val="24"/>
        </w:rPr>
      </w:pPr>
      <w:r w:rsidRPr="006849EE">
        <w:rPr>
          <w:rStyle w:val="normaltextrun"/>
          <w:rFonts w:asciiTheme="majorHAnsi" w:hAnsiTheme="majorHAnsi" w:cs="Arial"/>
          <w:sz w:val="24"/>
          <w:szCs w:val="24"/>
        </w:rPr>
        <w:t xml:space="preserve">DVC preferred Appeal No. 91 of 2021 on the following </w:t>
      </w:r>
      <w:proofErr w:type="gramStart"/>
      <w:r w:rsidRPr="006849EE">
        <w:rPr>
          <w:rStyle w:val="normaltextrun"/>
          <w:rFonts w:asciiTheme="majorHAnsi" w:hAnsiTheme="majorHAnsi" w:cs="Arial"/>
          <w:sz w:val="24"/>
          <w:szCs w:val="24"/>
        </w:rPr>
        <w:t>grounds;</w:t>
      </w:r>
      <w:proofErr w:type="gramEnd"/>
      <w:r w:rsidRPr="006849EE">
        <w:rPr>
          <w:rStyle w:val="eop"/>
          <w:rFonts w:asciiTheme="majorHAnsi" w:hAnsiTheme="majorHAnsi" w:cs="Arial"/>
          <w:sz w:val="24"/>
          <w:szCs w:val="24"/>
        </w:rPr>
        <w:t> </w:t>
      </w:r>
    </w:p>
    <w:p w14:paraId="578FEE13"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Carrying cost computed based on compound rate of interest in place of simple interest,</w:t>
      </w:r>
      <w:r w:rsidRPr="006849EE">
        <w:rPr>
          <w:rStyle w:val="eop"/>
          <w:rFonts w:asciiTheme="majorHAnsi" w:hAnsiTheme="majorHAnsi" w:cs="Arial"/>
        </w:rPr>
        <w:t> </w:t>
      </w:r>
    </w:p>
    <w:p w14:paraId="47AD412B"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lastRenderedPageBreak/>
        <w:t>Reduction in Fixed Charges for consumers of DVC from Existing Tariff order,</w:t>
      </w:r>
      <w:r w:rsidRPr="006849EE">
        <w:rPr>
          <w:rStyle w:val="eop"/>
          <w:rFonts w:asciiTheme="majorHAnsi" w:hAnsiTheme="majorHAnsi" w:cs="Arial"/>
        </w:rPr>
        <w:t> </w:t>
      </w:r>
    </w:p>
    <w:p w14:paraId="5CA9E889"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Linking of Recovery of Fixed/Demand Charges based on hours of power supply,</w:t>
      </w:r>
      <w:r w:rsidRPr="006849EE">
        <w:rPr>
          <w:rStyle w:val="eop"/>
          <w:rFonts w:asciiTheme="majorHAnsi" w:hAnsiTheme="majorHAnsi" w:cs="Arial"/>
        </w:rPr>
        <w:t> </w:t>
      </w:r>
    </w:p>
    <w:p w14:paraId="7D4AA868"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Reduction in rate of delay payment surcharge and extension of due date for prompt payment rebate,</w:t>
      </w:r>
      <w:r w:rsidRPr="006849EE">
        <w:rPr>
          <w:rStyle w:val="eop"/>
          <w:rFonts w:asciiTheme="majorHAnsi" w:hAnsiTheme="majorHAnsi" w:cs="Arial"/>
        </w:rPr>
        <w:t> </w:t>
      </w:r>
    </w:p>
    <w:p w14:paraId="342B996A"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Disallowance of AMC charges for ULDC scheme for FY 2014-15 to 2018-19,</w:t>
      </w:r>
      <w:r w:rsidRPr="006849EE">
        <w:rPr>
          <w:rStyle w:val="eop"/>
          <w:rFonts w:asciiTheme="majorHAnsi" w:hAnsiTheme="majorHAnsi" w:cs="Arial"/>
        </w:rPr>
        <w:t> </w:t>
      </w:r>
    </w:p>
    <w:p w14:paraId="07A94643"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Disallowance of ULDC charges for FY 2019-20 &amp; 2020-21,</w:t>
      </w:r>
      <w:r w:rsidRPr="006849EE">
        <w:rPr>
          <w:rStyle w:val="eop"/>
          <w:rFonts w:asciiTheme="majorHAnsi" w:hAnsiTheme="majorHAnsi" w:cs="Arial"/>
        </w:rPr>
        <w:t> </w:t>
      </w:r>
    </w:p>
    <w:p w14:paraId="03F92826"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Disallowance of Cyber security expenses, </w:t>
      </w:r>
      <w:r w:rsidRPr="006849EE">
        <w:rPr>
          <w:rStyle w:val="eop"/>
          <w:rFonts w:asciiTheme="majorHAnsi" w:hAnsiTheme="majorHAnsi" w:cs="Arial"/>
        </w:rPr>
        <w:t> </w:t>
      </w:r>
    </w:p>
    <w:p w14:paraId="0885E8F0"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Disallowance of Interest on working Capital,</w:t>
      </w:r>
      <w:r w:rsidRPr="006849EE">
        <w:rPr>
          <w:rStyle w:val="eop"/>
          <w:rFonts w:asciiTheme="majorHAnsi" w:hAnsiTheme="majorHAnsi" w:cs="Arial"/>
        </w:rPr>
        <w:t> </w:t>
      </w:r>
    </w:p>
    <w:p w14:paraId="1445FC55" w14:textId="77777777" w:rsidR="007642B4"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color w:val="000000"/>
        </w:rPr>
      </w:pPr>
      <w:r w:rsidRPr="006849EE">
        <w:rPr>
          <w:rStyle w:val="normaltextrun"/>
          <w:rFonts w:asciiTheme="majorHAnsi" w:hAnsiTheme="majorHAnsi" w:cs="Arial"/>
        </w:rPr>
        <w:t xml:space="preserve">Consideration of 100% collection efficiency without considering the implication of bad and doubtful debts; </w:t>
      </w:r>
      <w:proofErr w:type="spellStart"/>
      <w:r w:rsidRPr="006849EE">
        <w:rPr>
          <w:rStyle w:val="normaltextrun"/>
          <w:rFonts w:asciiTheme="majorHAnsi" w:hAnsiTheme="majorHAnsi" w:cs="Arial"/>
        </w:rPr>
        <w:t>etc</w:t>
      </w:r>
      <w:proofErr w:type="spellEnd"/>
      <w:r w:rsidRPr="006849EE">
        <w:rPr>
          <w:rStyle w:val="normaltextrun"/>
          <w:rFonts w:asciiTheme="majorHAnsi" w:hAnsiTheme="majorHAnsi" w:cs="Arial"/>
        </w:rPr>
        <w:t>,</w:t>
      </w:r>
      <w:r w:rsidRPr="006849EE">
        <w:rPr>
          <w:rStyle w:val="eop"/>
          <w:rFonts w:asciiTheme="majorHAnsi" w:hAnsiTheme="majorHAnsi" w:cs="Arial"/>
        </w:rPr>
        <w:t> </w:t>
      </w:r>
    </w:p>
    <w:p w14:paraId="0EEE2CAD" w14:textId="19FBA093" w:rsidR="00702E65" w:rsidRPr="006849EE" w:rsidRDefault="007642B4" w:rsidP="00B90377">
      <w:pPr>
        <w:pStyle w:val="paragraph"/>
        <w:numPr>
          <w:ilvl w:val="0"/>
          <w:numId w:val="9"/>
        </w:numPr>
        <w:spacing w:before="0" w:beforeAutospacing="0" w:after="0" w:afterAutospacing="0" w:line="360" w:lineRule="auto"/>
        <w:jc w:val="both"/>
        <w:textAlignment w:val="baseline"/>
        <w:rPr>
          <w:rFonts w:asciiTheme="majorHAnsi" w:hAnsiTheme="majorHAnsi" w:cs="Arial"/>
        </w:rPr>
      </w:pPr>
      <w:r w:rsidRPr="006849EE">
        <w:rPr>
          <w:rStyle w:val="normaltextrun"/>
          <w:rFonts w:asciiTheme="majorHAnsi" w:hAnsiTheme="majorHAnsi" w:cs="Arial"/>
        </w:rPr>
        <w:t xml:space="preserve">Computation of Revenue Gap / Surplus based on Revenue Assessed and Revenue Billed in place of Revenue </w:t>
      </w:r>
      <w:proofErr w:type="gramStart"/>
      <w:r w:rsidRPr="006849EE">
        <w:rPr>
          <w:rStyle w:val="normaltextrun"/>
          <w:rFonts w:asciiTheme="majorHAnsi" w:hAnsiTheme="majorHAnsi" w:cs="Arial"/>
        </w:rPr>
        <w:t>Realized;</w:t>
      </w:r>
      <w:proofErr w:type="gramEnd"/>
      <w:r w:rsidRPr="006849EE">
        <w:rPr>
          <w:rStyle w:val="eop"/>
          <w:rFonts w:asciiTheme="majorHAnsi" w:hAnsiTheme="majorHAnsi" w:cs="Arial"/>
        </w:rPr>
        <w:t> </w:t>
      </w:r>
      <w:r w:rsidR="00702E65" w:rsidRPr="006849EE">
        <w:rPr>
          <w:rFonts w:asciiTheme="majorHAnsi" w:hAnsiTheme="majorHAnsi" w:cs="Arial"/>
        </w:rPr>
        <w:t xml:space="preserve"> </w:t>
      </w:r>
    </w:p>
    <w:p w14:paraId="4F799EC3" w14:textId="77777777" w:rsidR="008C07B8" w:rsidRPr="006849EE" w:rsidRDefault="008C07B8" w:rsidP="008C07B8">
      <w:pPr>
        <w:pStyle w:val="ListParagraph"/>
        <w:numPr>
          <w:ilvl w:val="0"/>
          <w:numId w:val="10"/>
        </w:numPr>
        <w:spacing w:line="360" w:lineRule="auto"/>
        <w:jc w:val="both"/>
        <w:rPr>
          <w:rStyle w:val="normaltextrun"/>
          <w:rFonts w:asciiTheme="majorHAnsi" w:hAnsiTheme="majorHAnsi" w:cs="Arial"/>
          <w:color w:val="auto"/>
          <w:sz w:val="24"/>
          <w:szCs w:val="24"/>
        </w:rPr>
      </w:pPr>
      <w:r w:rsidRPr="006849EE">
        <w:rPr>
          <w:rFonts w:asciiTheme="majorHAnsi" w:hAnsiTheme="majorHAnsi" w:cs="Arial"/>
          <w:color w:val="auto"/>
          <w:sz w:val="24"/>
          <w:szCs w:val="24"/>
        </w:rPr>
        <w:t>DVC preferred Appeal No</w:t>
      </w:r>
      <w:r w:rsidRPr="006849EE">
        <w:rPr>
          <w:rFonts w:asciiTheme="majorHAnsi" w:hAnsiTheme="majorHAnsi" w:cs="Arial"/>
          <w:b/>
          <w:bCs/>
          <w:color w:val="auto"/>
          <w:sz w:val="24"/>
          <w:szCs w:val="24"/>
        </w:rPr>
        <w:t xml:space="preserve">. </w:t>
      </w:r>
      <w:r w:rsidRPr="006849EE">
        <w:rPr>
          <w:rFonts w:asciiTheme="majorHAnsi" w:hAnsiTheme="majorHAnsi" w:cs="Arial"/>
          <w:color w:val="auto"/>
          <w:sz w:val="24"/>
          <w:szCs w:val="24"/>
        </w:rPr>
        <w:t>507 of 2024</w:t>
      </w:r>
      <w:r w:rsidRPr="006849EE">
        <w:rPr>
          <w:rFonts w:asciiTheme="majorHAnsi" w:hAnsiTheme="majorHAnsi" w:cs="Arial"/>
          <w:b/>
          <w:bCs/>
          <w:color w:val="auto"/>
          <w:sz w:val="24"/>
          <w:szCs w:val="24"/>
        </w:rPr>
        <w:t xml:space="preserve"> </w:t>
      </w:r>
      <w:r w:rsidRPr="006849EE">
        <w:rPr>
          <w:rStyle w:val="normaltextrun"/>
          <w:rFonts w:asciiTheme="majorHAnsi" w:hAnsiTheme="majorHAnsi" w:cs="Arial"/>
          <w:sz w:val="24"/>
          <w:szCs w:val="24"/>
        </w:rPr>
        <w:t xml:space="preserve">on the following </w:t>
      </w:r>
      <w:proofErr w:type="gramStart"/>
      <w:r w:rsidRPr="006849EE">
        <w:rPr>
          <w:rStyle w:val="normaltextrun"/>
          <w:rFonts w:asciiTheme="majorHAnsi" w:hAnsiTheme="majorHAnsi" w:cs="Arial"/>
          <w:sz w:val="24"/>
          <w:szCs w:val="24"/>
        </w:rPr>
        <w:t>grounds;</w:t>
      </w:r>
      <w:proofErr w:type="gramEnd"/>
      <w:r w:rsidRPr="006849EE">
        <w:rPr>
          <w:rStyle w:val="normaltextrun"/>
          <w:rFonts w:asciiTheme="majorHAnsi" w:hAnsiTheme="majorHAnsi" w:cs="Arial"/>
          <w:sz w:val="24"/>
          <w:szCs w:val="24"/>
        </w:rPr>
        <w:t> </w:t>
      </w:r>
    </w:p>
    <w:p w14:paraId="07CC807A"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Erroneous computation of cumulative gap/surplus for the distribution business of DVC in the State of Jharkhand for the period FY 2006-07 to FY 2023-24  </w:t>
      </w:r>
    </w:p>
    <w:p w14:paraId="4B696F6F"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arbitrarily disallowed the Rebate on sale of power for FY 2021-22, FY 2022-23, and FY </w:t>
      </w:r>
      <w:proofErr w:type="gramStart"/>
      <w:r w:rsidRPr="006849EE">
        <w:rPr>
          <w:rFonts w:asciiTheme="majorHAnsi" w:hAnsiTheme="majorHAnsi"/>
          <w:sz w:val="24"/>
          <w:szCs w:val="24"/>
        </w:rPr>
        <w:t>2023-24;</w:t>
      </w:r>
      <w:proofErr w:type="gramEnd"/>
      <w:r w:rsidRPr="006849EE">
        <w:rPr>
          <w:rFonts w:asciiTheme="majorHAnsi" w:hAnsiTheme="majorHAnsi"/>
          <w:sz w:val="24"/>
          <w:szCs w:val="24"/>
        </w:rPr>
        <w:t xml:space="preserve"> </w:t>
      </w:r>
    </w:p>
    <w:p w14:paraId="26E4C81F"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erroneously considered the revenue billed amount for FY 2021-22 without assigning any cogent reasons for the </w:t>
      </w:r>
      <w:proofErr w:type="gramStart"/>
      <w:r w:rsidRPr="006849EE">
        <w:rPr>
          <w:rFonts w:asciiTheme="majorHAnsi" w:hAnsiTheme="majorHAnsi"/>
          <w:sz w:val="24"/>
          <w:szCs w:val="24"/>
        </w:rPr>
        <w:t>same;</w:t>
      </w:r>
      <w:proofErr w:type="gramEnd"/>
      <w:r w:rsidRPr="006849EE">
        <w:rPr>
          <w:rFonts w:asciiTheme="majorHAnsi" w:hAnsiTheme="majorHAnsi"/>
          <w:sz w:val="24"/>
          <w:szCs w:val="24"/>
        </w:rPr>
        <w:t xml:space="preserve"> </w:t>
      </w:r>
    </w:p>
    <w:p w14:paraId="31DE1C16"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arbitrarily disallowed the legal charges claimed for FY 2021-22, FY 2022-23, and FY </w:t>
      </w:r>
      <w:proofErr w:type="gramStart"/>
      <w:r w:rsidRPr="006849EE">
        <w:rPr>
          <w:rFonts w:asciiTheme="majorHAnsi" w:hAnsiTheme="majorHAnsi"/>
          <w:sz w:val="24"/>
          <w:szCs w:val="24"/>
        </w:rPr>
        <w:t>2023-24;</w:t>
      </w:r>
      <w:proofErr w:type="gramEnd"/>
      <w:r w:rsidRPr="006849EE">
        <w:rPr>
          <w:rFonts w:asciiTheme="majorHAnsi" w:hAnsiTheme="majorHAnsi"/>
          <w:sz w:val="24"/>
          <w:szCs w:val="24"/>
        </w:rPr>
        <w:t xml:space="preserve"> </w:t>
      </w:r>
    </w:p>
    <w:p w14:paraId="30E85521"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erroneously disallowed the Interest on Working Capital for FY 2021-22, FY 2022-23, and FY </w:t>
      </w:r>
      <w:proofErr w:type="gramStart"/>
      <w:r w:rsidRPr="006849EE">
        <w:rPr>
          <w:rFonts w:asciiTheme="majorHAnsi" w:hAnsiTheme="majorHAnsi"/>
          <w:sz w:val="24"/>
          <w:szCs w:val="24"/>
        </w:rPr>
        <w:t>2023-24;</w:t>
      </w:r>
      <w:proofErr w:type="gramEnd"/>
      <w:r w:rsidRPr="006849EE">
        <w:rPr>
          <w:rFonts w:asciiTheme="majorHAnsi" w:hAnsiTheme="majorHAnsi"/>
          <w:sz w:val="24"/>
          <w:szCs w:val="24"/>
        </w:rPr>
        <w:t xml:space="preserve"> </w:t>
      </w:r>
    </w:p>
    <w:p w14:paraId="5C16A45C"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while computing the T&amp;D loss for FY 2021-22, FY 2022-23 and 2023-24: </w:t>
      </w:r>
    </w:p>
    <w:p w14:paraId="6BAC414D" w14:textId="77777777" w:rsidR="008C07B8" w:rsidRPr="006849EE" w:rsidRDefault="008C07B8" w:rsidP="008C07B8">
      <w:pPr>
        <w:pStyle w:val="ListParagraph"/>
        <w:numPr>
          <w:ilvl w:val="1"/>
          <w:numId w:val="9"/>
        </w:numPr>
        <w:spacing w:line="360" w:lineRule="auto"/>
        <w:jc w:val="both"/>
        <w:rPr>
          <w:rFonts w:asciiTheme="majorHAnsi" w:hAnsiTheme="majorHAnsi"/>
          <w:sz w:val="24"/>
          <w:szCs w:val="24"/>
        </w:rPr>
      </w:pPr>
      <w:r w:rsidRPr="006849EE">
        <w:rPr>
          <w:rFonts w:asciiTheme="majorHAnsi" w:hAnsiTheme="majorHAnsi"/>
          <w:sz w:val="24"/>
          <w:szCs w:val="24"/>
        </w:rPr>
        <w:t xml:space="preserve">erroneously dis-allowed the UI Import for FY 2021-22 which resulted in incorrect computation of T&amp;D Loss. </w:t>
      </w:r>
    </w:p>
    <w:p w14:paraId="4A5205AF" w14:textId="77777777" w:rsidR="008C07B8" w:rsidRPr="006849EE" w:rsidRDefault="008C07B8" w:rsidP="008C07B8">
      <w:pPr>
        <w:pStyle w:val="ListParagraph"/>
        <w:numPr>
          <w:ilvl w:val="1"/>
          <w:numId w:val="9"/>
        </w:numPr>
        <w:spacing w:line="360" w:lineRule="auto"/>
        <w:jc w:val="both"/>
        <w:rPr>
          <w:rFonts w:asciiTheme="majorHAnsi" w:hAnsiTheme="majorHAnsi" w:cs="Arial"/>
          <w:sz w:val="24"/>
          <w:szCs w:val="24"/>
        </w:rPr>
      </w:pPr>
      <w:r w:rsidRPr="006849EE">
        <w:rPr>
          <w:rFonts w:asciiTheme="majorHAnsi" w:hAnsiTheme="majorHAnsi"/>
          <w:sz w:val="24"/>
          <w:szCs w:val="24"/>
        </w:rPr>
        <w:lastRenderedPageBreak/>
        <w:t xml:space="preserve">arbitrarily dis-allowed the quantum of Grid Loss which is bound to occur for transmission of energy through the CTU for FY 2022-23 and FY 2023-24. </w:t>
      </w:r>
    </w:p>
    <w:p w14:paraId="47B0D4D4" w14:textId="77777777" w:rsidR="008C07B8" w:rsidRPr="006849EE" w:rsidRDefault="008C07B8" w:rsidP="008C07B8">
      <w:pPr>
        <w:pStyle w:val="ListParagraph"/>
        <w:numPr>
          <w:ilvl w:val="1"/>
          <w:numId w:val="9"/>
        </w:numPr>
        <w:spacing w:line="360" w:lineRule="auto"/>
        <w:jc w:val="both"/>
        <w:rPr>
          <w:rFonts w:asciiTheme="majorHAnsi" w:hAnsiTheme="majorHAnsi" w:cs="Arial"/>
          <w:sz w:val="24"/>
          <w:szCs w:val="24"/>
        </w:rPr>
      </w:pPr>
      <w:r w:rsidRPr="006849EE">
        <w:rPr>
          <w:rFonts w:asciiTheme="majorHAnsi" w:hAnsiTheme="majorHAnsi"/>
          <w:sz w:val="24"/>
          <w:szCs w:val="24"/>
        </w:rPr>
        <w:t xml:space="preserve">erroneously dis-allowed the quantum and cost of power purchase from the exchange for FY 2022- 23 and FY 2023-24. </w:t>
      </w:r>
    </w:p>
    <w:p w14:paraId="65E1A314"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arbitrarily disallowed the expense for the state transmission charge for evacuation of power purchased from NVVNL </w:t>
      </w:r>
    </w:p>
    <w:p w14:paraId="1C3A1CD8"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disallowed the Ash Evacuation Expenses in respect of generating stations </w:t>
      </w:r>
    </w:p>
    <w:p w14:paraId="7C71577E"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erroneously considered the Annual Fixed Cost of DTPS U#4 generating station </w:t>
      </w:r>
    </w:p>
    <w:p w14:paraId="2336727D"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erroneously rendered a finding that Ld. JSERC has previously directed DVC to provide separate balance sheets for the distribution business of </w:t>
      </w:r>
      <w:proofErr w:type="gramStart"/>
      <w:r w:rsidRPr="006849EE">
        <w:rPr>
          <w:rFonts w:asciiTheme="majorHAnsi" w:hAnsiTheme="majorHAnsi"/>
          <w:sz w:val="24"/>
          <w:szCs w:val="24"/>
        </w:rPr>
        <w:t>DVC;</w:t>
      </w:r>
      <w:proofErr w:type="gramEnd"/>
      <w:r w:rsidRPr="006849EE">
        <w:rPr>
          <w:rFonts w:asciiTheme="majorHAnsi" w:hAnsiTheme="majorHAnsi"/>
          <w:sz w:val="24"/>
          <w:szCs w:val="24"/>
        </w:rPr>
        <w:t xml:space="preserve"> </w:t>
      </w:r>
    </w:p>
    <w:p w14:paraId="7AD2E6AB"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erroneously disallowed the power purchase cost from the NTPC Vidyut </w:t>
      </w:r>
      <w:proofErr w:type="spellStart"/>
      <w:r w:rsidRPr="006849EE">
        <w:rPr>
          <w:rFonts w:asciiTheme="majorHAnsi" w:hAnsiTheme="majorHAnsi"/>
          <w:sz w:val="24"/>
          <w:szCs w:val="24"/>
        </w:rPr>
        <w:t>Vyapar</w:t>
      </w:r>
      <w:proofErr w:type="spellEnd"/>
      <w:r w:rsidRPr="006849EE">
        <w:rPr>
          <w:rFonts w:asciiTheme="majorHAnsi" w:hAnsiTheme="majorHAnsi"/>
          <w:sz w:val="24"/>
          <w:szCs w:val="24"/>
        </w:rPr>
        <w:t xml:space="preserve"> Nigam Ltd. (“NVVNL”) and power exchanges i.e., Power Exchange India Limited (“PXIL”) and Indian Electricity Exchange (“IEX”) for FY 2022-23 and FY 2023-24, without adducing any </w:t>
      </w:r>
      <w:proofErr w:type="gramStart"/>
      <w:r w:rsidRPr="006849EE">
        <w:rPr>
          <w:rFonts w:asciiTheme="majorHAnsi" w:hAnsiTheme="majorHAnsi"/>
          <w:sz w:val="24"/>
          <w:szCs w:val="24"/>
        </w:rPr>
        <w:t>reasoning;</w:t>
      </w:r>
      <w:proofErr w:type="gramEnd"/>
      <w:r w:rsidRPr="006849EE">
        <w:rPr>
          <w:rFonts w:asciiTheme="majorHAnsi" w:hAnsiTheme="majorHAnsi"/>
          <w:sz w:val="24"/>
          <w:szCs w:val="24"/>
        </w:rPr>
        <w:t xml:space="preserve"> </w:t>
      </w:r>
    </w:p>
    <w:p w14:paraId="07E83658" w14:textId="77777777" w:rsidR="008C07B8" w:rsidRPr="006849EE" w:rsidRDefault="008C07B8" w:rsidP="008C07B8">
      <w:pPr>
        <w:pStyle w:val="ListParagraph"/>
        <w:numPr>
          <w:ilvl w:val="0"/>
          <w:numId w:val="28"/>
        </w:numPr>
        <w:spacing w:line="360" w:lineRule="auto"/>
        <w:ind w:left="2520"/>
        <w:jc w:val="both"/>
        <w:rPr>
          <w:rFonts w:asciiTheme="majorHAnsi" w:hAnsiTheme="majorHAnsi" w:cs="Arial"/>
          <w:sz w:val="24"/>
          <w:szCs w:val="24"/>
        </w:rPr>
      </w:pPr>
      <w:r w:rsidRPr="006849EE">
        <w:rPr>
          <w:rFonts w:asciiTheme="majorHAnsi" w:hAnsiTheme="majorHAnsi"/>
          <w:sz w:val="24"/>
          <w:szCs w:val="24"/>
        </w:rPr>
        <w:t xml:space="preserve">arbitrarily has not increased the Tariff of DVC, though there is a huge gap in the average billing rate and the average cost of </w:t>
      </w:r>
      <w:proofErr w:type="gramStart"/>
      <w:r w:rsidRPr="006849EE">
        <w:rPr>
          <w:rFonts w:asciiTheme="majorHAnsi" w:hAnsiTheme="majorHAnsi"/>
          <w:sz w:val="24"/>
          <w:szCs w:val="24"/>
        </w:rPr>
        <w:t>supply;</w:t>
      </w:r>
      <w:proofErr w:type="gramEnd"/>
    </w:p>
    <w:p w14:paraId="72798A22" w14:textId="77777777" w:rsidR="008C07B8" w:rsidRPr="006849EE" w:rsidRDefault="008C07B8" w:rsidP="008C07B8">
      <w:pPr>
        <w:pStyle w:val="ListParagraph"/>
        <w:numPr>
          <w:ilvl w:val="0"/>
          <w:numId w:val="10"/>
        </w:numPr>
        <w:spacing w:line="360" w:lineRule="auto"/>
        <w:jc w:val="both"/>
        <w:rPr>
          <w:rStyle w:val="normaltextrun"/>
          <w:rFonts w:asciiTheme="majorHAnsi" w:hAnsiTheme="majorHAnsi"/>
          <w:sz w:val="24"/>
          <w:szCs w:val="24"/>
        </w:rPr>
      </w:pPr>
      <w:r w:rsidRPr="006849EE">
        <w:rPr>
          <w:rFonts w:asciiTheme="majorHAnsi" w:hAnsiTheme="majorHAnsi" w:cs="Arial"/>
          <w:color w:val="auto"/>
          <w:sz w:val="24"/>
          <w:szCs w:val="24"/>
        </w:rPr>
        <w:t>DVC preferred Appeal No</w:t>
      </w:r>
      <w:r w:rsidRPr="006849EE">
        <w:rPr>
          <w:rFonts w:asciiTheme="majorHAnsi" w:hAnsiTheme="majorHAnsi" w:cs="Arial"/>
          <w:b/>
          <w:bCs/>
          <w:color w:val="auto"/>
          <w:sz w:val="24"/>
          <w:szCs w:val="24"/>
        </w:rPr>
        <w:t xml:space="preserve">. </w:t>
      </w:r>
      <w:r w:rsidRPr="006849EE">
        <w:rPr>
          <w:rFonts w:asciiTheme="majorHAnsi" w:hAnsiTheme="majorHAnsi" w:cs="Arial"/>
          <w:color w:val="auto"/>
          <w:sz w:val="24"/>
          <w:szCs w:val="24"/>
        </w:rPr>
        <w:t>74 of 2024</w:t>
      </w:r>
      <w:r w:rsidRPr="006849EE">
        <w:rPr>
          <w:rFonts w:asciiTheme="majorHAnsi" w:hAnsiTheme="majorHAnsi" w:cs="Arial"/>
          <w:b/>
          <w:bCs/>
          <w:color w:val="auto"/>
          <w:sz w:val="24"/>
          <w:szCs w:val="24"/>
        </w:rPr>
        <w:t xml:space="preserve"> </w:t>
      </w:r>
      <w:r w:rsidRPr="006849EE">
        <w:rPr>
          <w:rStyle w:val="normaltextrun"/>
          <w:rFonts w:asciiTheme="majorHAnsi" w:hAnsiTheme="majorHAnsi" w:cs="Arial"/>
          <w:sz w:val="24"/>
          <w:szCs w:val="24"/>
        </w:rPr>
        <w:t>on the following grounds</w:t>
      </w:r>
    </w:p>
    <w:p w14:paraId="3BB53516"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bCs/>
          <w:color w:val="auto"/>
          <w:sz w:val="24"/>
          <w:szCs w:val="24"/>
        </w:rPr>
      </w:pPr>
      <w:r w:rsidRPr="006849EE">
        <w:rPr>
          <w:rFonts w:asciiTheme="majorHAnsi" w:hAnsiTheme="majorHAnsi"/>
          <w:sz w:val="24"/>
          <w:szCs w:val="24"/>
        </w:rPr>
        <w:t xml:space="preserve">Disallowance of Legal charges claimed for FY </w:t>
      </w:r>
      <w:proofErr w:type="gramStart"/>
      <w:r w:rsidRPr="006849EE">
        <w:rPr>
          <w:rFonts w:asciiTheme="majorHAnsi" w:hAnsiTheme="majorHAnsi"/>
          <w:sz w:val="24"/>
          <w:szCs w:val="24"/>
        </w:rPr>
        <w:t>2020-21;</w:t>
      </w:r>
      <w:proofErr w:type="gramEnd"/>
      <w:r w:rsidRPr="006849EE">
        <w:rPr>
          <w:rFonts w:asciiTheme="majorHAnsi" w:hAnsiTheme="majorHAnsi"/>
          <w:sz w:val="24"/>
          <w:szCs w:val="24"/>
        </w:rPr>
        <w:t xml:space="preserve"> </w:t>
      </w:r>
    </w:p>
    <w:p w14:paraId="31C254DA"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bCs/>
          <w:color w:val="auto"/>
          <w:sz w:val="24"/>
          <w:szCs w:val="24"/>
        </w:rPr>
      </w:pPr>
      <w:r w:rsidRPr="006849EE">
        <w:rPr>
          <w:rFonts w:asciiTheme="majorHAnsi" w:hAnsiTheme="majorHAnsi"/>
          <w:sz w:val="24"/>
          <w:szCs w:val="24"/>
        </w:rPr>
        <w:t xml:space="preserve">Disallowance of Interest on working capital for FY </w:t>
      </w:r>
      <w:proofErr w:type="gramStart"/>
      <w:r w:rsidRPr="006849EE">
        <w:rPr>
          <w:rFonts w:asciiTheme="majorHAnsi" w:hAnsiTheme="majorHAnsi"/>
          <w:sz w:val="24"/>
          <w:szCs w:val="24"/>
        </w:rPr>
        <w:t>2020-21;</w:t>
      </w:r>
      <w:proofErr w:type="gramEnd"/>
      <w:r w:rsidRPr="006849EE">
        <w:rPr>
          <w:rFonts w:asciiTheme="majorHAnsi" w:hAnsiTheme="majorHAnsi"/>
          <w:sz w:val="24"/>
          <w:szCs w:val="24"/>
        </w:rPr>
        <w:t xml:space="preserve"> </w:t>
      </w:r>
    </w:p>
    <w:p w14:paraId="073DEA18"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bCs/>
          <w:color w:val="auto"/>
          <w:sz w:val="24"/>
          <w:szCs w:val="24"/>
        </w:rPr>
      </w:pPr>
      <w:r w:rsidRPr="006849EE">
        <w:rPr>
          <w:rFonts w:asciiTheme="majorHAnsi" w:hAnsiTheme="majorHAnsi"/>
          <w:sz w:val="24"/>
          <w:szCs w:val="24"/>
        </w:rPr>
        <w:t xml:space="preserve">Disallowance of Rebate on sale of power for FY </w:t>
      </w:r>
      <w:proofErr w:type="gramStart"/>
      <w:r w:rsidRPr="006849EE">
        <w:rPr>
          <w:rFonts w:asciiTheme="majorHAnsi" w:hAnsiTheme="majorHAnsi"/>
          <w:sz w:val="24"/>
          <w:szCs w:val="24"/>
        </w:rPr>
        <w:t>2020-21;</w:t>
      </w:r>
      <w:proofErr w:type="gramEnd"/>
      <w:r w:rsidRPr="006849EE">
        <w:rPr>
          <w:rFonts w:asciiTheme="majorHAnsi" w:hAnsiTheme="majorHAnsi"/>
          <w:sz w:val="24"/>
          <w:szCs w:val="24"/>
        </w:rPr>
        <w:t xml:space="preserve"> </w:t>
      </w:r>
    </w:p>
    <w:p w14:paraId="6D4A455A"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bCs/>
          <w:color w:val="auto"/>
          <w:sz w:val="24"/>
          <w:szCs w:val="24"/>
        </w:rPr>
      </w:pPr>
      <w:r w:rsidRPr="006849EE">
        <w:rPr>
          <w:rFonts w:asciiTheme="majorHAnsi" w:hAnsiTheme="majorHAnsi"/>
          <w:sz w:val="24"/>
          <w:szCs w:val="24"/>
        </w:rPr>
        <w:t xml:space="preserve">Disallowance of Revenue billed amount for FY 2020-21 without assigning any cogent reasons for the </w:t>
      </w:r>
      <w:proofErr w:type="gramStart"/>
      <w:r w:rsidRPr="006849EE">
        <w:rPr>
          <w:rFonts w:asciiTheme="majorHAnsi" w:hAnsiTheme="majorHAnsi"/>
          <w:sz w:val="24"/>
          <w:szCs w:val="24"/>
        </w:rPr>
        <w:t>same;</w:t>
      </w:r>
      <w:proofErr w:type="gramEnd"/>
      <w:r w:rsidRPr="006849EE">
        <w:rPr>
          <w:rFonts w:asciiTheme="majorHAnsi" w:hAnsiTheme="majorHAnsi"/>
          <w:sz w:val="24"/>
          <w:szCs w:val="24"/>
        </w:rPr>
        <w:t xml:space="preserve"> </w:t>
      </w:r>
    </w:p>
    <w:p w14:paraId="55537518"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bCs/>
          <w:color w:val="auto"/>
          <w:sz w:val="24"/>
          <w:szCs w:val="24"/>
        </w:rPr>
      </w:pPr>
      <w:r w:rsidRPr="006849EE">
        <w:rPr>
          <w:rFonts w:asciiTheme="majorHAnsi" w:hAnsiTheme="majorHAnsi"/>
          <w:sz w:val="24"/>
          <w:szCs w:val="24"/>
        </w:rPr>
        <w:t xml:space="preserve">Disallowance of Impact of trued-up figures as computed by the Ld. CERC for the T&amp;D System and MTPS Unit 4 in Order dated 10.06.2022 (with corrigendum issued on 23.07.2022 and </w:t>
      </w:r>
      <w:r w:rsidRPr="006849EE">
        <w:rPr>
          <w:rFonts w:asciiTheme="majorHAnsi" w:hAnsiTheme="majorHAnsi"/>
          <w:sz w:val="24"/>
          <w:szCs w:val="24"/>
        </w:rPr>
        <w:lastRenderedPageBreak/>
        <w:t xml:space="preserve">02.03.2022) and 30.11.2022, while computing the revenue (surplus)/gap for FY 2020-21 by the Ld. </w:t>
      </w:r>
      <w:proofErr w:type="gramStart"/>
      <w:r w:rsidRPr="006849EE">
        <w:rPr>
          <w:rFonts w:asciiTheme="majorHAnsi" w:hAnsiTheme="majorHAnsi"/>
          <w:sz w:val="24"/>
          <w:szCs w:val="24"/>
        </w:rPr>
        <w:t>JSERC;</w:t>
      </w:r>
      <w:proofErr w:type="gramEnd"/>
      <w:r w:rsidRPr="006849EE">
        <w:rPr>
          <w:rFonts w:asciiTheme="majorHAnsi" w:hAnsiTheme="majorHAnsi"/>
          <w:sz w:val="24"/>
          <w:szCs w:val="24"/>
        </w:rPr>
        <w:t xml:space="preserve"> </w:t>
      </w:r>
    </w:p>
    <w:p w14:paraId="7DC00D08"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bCs/>
          <w:color w:val="auto"/>
          <w:sz w:val="24"/>
          <w:szCs w:val="24"/>
        </w:rPr>
      </w:pPr>
      <w:r w:rsidRPr="006849EE">
        <w:rPr>
          <w:rFonts w:asciiTheme="majorHAnsi" w:hAnsiTheme="majorHAnsi"/>
          <w:sz w:val="24"/>
          <w:szCs w:val="24"/>
        </w:rPr>
        <w:t xml:space="preserve">Disallowance of Computation the Annual Fixed Cost; and </w:t>
      </w:r>
    </w:p>
    <w:p w14:paraId="4BC0DAA6" w14:textId="77777777" w:rsidR="008C07B8" w:rsidRPr="006849EE" w:rsidRDefault="008C07B8" w:rsidP="008C07B8">
      <w:pPr>
        <w:pStyle w:val="ListParagraph"/>
        <w:numPr>
          <w:ilvl w:val="0"/>
          <w:numId w:val="29"/>
        </w:numPr>
        <w:spacing w:line="360" w:lineRule="auto"/>
        <w:ind w:left="2610" w:hanging="450"/>
        <w:jc w:val="both"/>
        <w:rPr>
          <w:rFonts w:asciiTheme="majorHAnsi" w:hAnsiTheme="majorHAnsi" w:cs="Arial"/>
          <w:b/>
          <w:color w:val="auto"/>
          <w:sz w:val="24"/>
          <w:szCs w:val="24"/>
        </w:rPr>
      </w:pPr>
      <w:r w:rsidRPr="006849EE">
        <w:rPr>
          <w:rFonts w:asciiTheme="majorHAnsi" w:hAnsiTheme="majorHAnsi"/>
          <w:sz w:val="24"/>
          <w:szCs w:val="24"/>
        </w:rPr>
        <w:t xml:space="preserve">Disallowance of Interest </w:t>
      </w:r>
      <w:proofErr w:type="gramStart"/>
      <w:r w:rsidRPr="006849EE">
        <w:rPr>
          <w:rFonts w:asciiTheme="majorHAnsi" w:hAnsiTheme="majorHAnsi"/>
          <w:sz w:val="24"/>
          <w:szCs w:val="24"/>
        </w:rPr>
        <w:t>on</w:t>
      </w:r>
      <w:proofErr w:type="gramEnd"/>
      <w:r w:rsidRPr="006849EE">
        <w:rPr>
          <w:rFonts w:asciiTheme="majorHAnsi" w:hAnsiTheme="majorHAnsi"/>
          <w:sz w:val="24"/>
          <w:szCs w:val="24"/>
        </w:rPr>
        <w:t xml:space="preserve"> Additional Working Capital</w:t>
      </w:r>
    </w:p>
    <w:p w14:paraId="4090FE20" w14:textId="77777777" w:rsidR="008C07B8" w:rsidRPr="006849EE" w:rsidRDefault="008C07B8" w:rsidP="008C07B8">
      <w:pPr>
        <w:pStyle w:val="ListParagraph"/>
        <w:numPr>
          <w:ilvl w:val="0"/>
          <w:numId w:val="10"/>
        </w:numPr>
        <w:spacing w:line="360" w:lineRule="auto"/>
        <w:jc w:val="both"/>
        <w:rPr>
          <w:rStyle w:val="normaltextrun"/>
          <w:rFonts w:asciiTheme="majorHAnsi" w:hAnsiTheme="majorHAnsi" w:cs="Arial"/>
          <w:b/>
          <w:bCs/>
          <w:color w:val="auto"/>
          <w:sz w:val="24"/>
          <w:szCs w:val="24"/>
        </w:rPr>
      </w:pPr>
      <w:r w:rsidRPr="006849EE">
        <w:rPr>
          <w:rFonts w:asciiTheme="majorHAnsi" w:hAnsiTheme="majorHAnsi" w:cs="Arial"/>
          <w:color w:val="auto"/>
          <w:sz w:val="24"/>
          <w:szCs w:val="24"/>
        </w:rPr>
        <w:t>DVC preferred Appeal No</w:t>
      </w:r>
      <w:r w:rsidRPr="006849EE">
        <w:rPr>
          <w:rFonts w:asciiTheme="majorHAnsi" w:hAnsiTheme="majorHAnsi" w:cs="Arial"/>
          <w:b/>
          <w:bCs/>
          <w:color w:val="auto"/>
          <w:sz w:val="24"/>
          <w:szCs w:val="24"/>
        </w:rPr>
        <w:t xml:space="preserve">. </w:t>
      </w:r>
      <w:r w:rsidRPr="006849EE">
        <w:rPr>
          <w:rFonts w:asciiTheme="majorHAnsi" w:hAnsiTheme="majorHAnsi" w:cs="Arial"/>
          <w:color w:val="auto"/>
          <w:sz w:val="24"/>
          <w:szCs w:val="24"/>
        </w:rPr>
        <w:t>227 of 2025</w:t>
      </w:r>
      <w:r w:rsidRPr="006849EE">
        <w:rPr>
          <w:rFonts w:asciiTheme="majorHAnsi" w:hAnsiTheme="majorHAnsi" w:cs="Arial"/>
          <w:b/>
          <w:bCs/>
          <w:color w:val="auto"/>
          <w:sz w:val="24"/>
          <w:szCs w:val="24"/>
        </w:rPr>
        <w:t xml:space="preserve"> </w:t>
      </w:r>
      <w:r w:rsidRPr="006849EE">
        <w:rPr>
          <w:rStyle w:val="normaltextrun"/>
          <w:rFonts w:asciiTheme="majorHAnsi" w:hAnsiTheme="majorHAnsi" w:cs="Arial"/>
          <w:sz w:val="24"/>
          <w:szCs w:val="24"/>
        </w:rPr>
        <w:t>on the following grounds</w:t>
      </w:r>
    </w:p>
    <w:p w14:paraId="1571FA14"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incorrectly determined the </w:t>
      </w:r>
      <w:proofErr w:type="gramStart"/>
      <w:r w:rsidRPr="006849EE">
        <w:rPr>
          <w:rFonts w:asciiTheme="majorHAnsi" w:eastAsiaTheme="minorHAnsi" w:hAnsiTheme="majorHAnsi" w:cs="Times New Roman"/>
          <w:color w:val="auto"/>
          <w:sz w:val="24"/>
          <w:szCs w:val="24"/>
        </w:rPr>
        <w:t>Non-Tariff</w:t>
      </w:r>
      <w:proofErr w:type="gramEnd"/>
      <w:r w:rsidRPr="006849EE">
        <w:rPr>
          <w:rFonts w:asciiTheme="majorHAnsi" w:eastAsiaTheme="minorHAnsi" w:hAnsiTheme="majorHAnsi" w:cs="Times New Roman"/>
          <w:color w:val="auto"/>
          <w:sz w:val="24"/>
          <w:szCs w:val="24"/>
        </w:rPr>
        <w:t xml:space="preserve"> </w:t>
      </w:r>
      <w:proofErr w:type="gramStart"/>
      <w:r w:rsidRPr="006849EE">
        <w:rPr>
          <w:rFonts w:asciiTheme="majorHAnsi" w:eastAsiaTheme="minorHAnsi" w:hAnsiTheme="majorHAnsi" w:cs="Times New Roman"/>
          <w:color w:val="auto"/>
          <w:sz w:val="24"/>
          <w:szCs w:val="24"/>
        </w:rPr>
        <w:t>Income;</w:t>
      </w:r>
      <w:proofErr w:type="gramEnd"/>
      <w:r w:rsidRPr="006849EE">
        <w:rPr>
          <w:rFonts w:asciiTheme="majorHAnsi" w:eastAsiaTheme="minorHAnsi" w:hAnsiTheme="majorHAnsi" w:cs="Times New Roman"/>
          <w:color w:val="auto"/>
          <w:sz w:val="24"/>
          <w:szCs w:val="24"/>
        </w:rPr>
        <w:t xml:space="preserve"> </w:t>
      </w:r>
    </w:p>
    <w:p w14:paraId="50938CAF"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failed to adjust revenue </w:t>
      </w:r>
      <w:proofErr w:type="gramStart"/>
      <w:r w:rsidRPr="006849EE">
        <w:rPr>
          <w:rFonts w:asciiTheme="majorHAnsi" w:eastAsiaTheme="minorHAnsi" w:hAnsiTheme="majorHAnsi" w:cs="Times New Roman"/>
          <w:color w:val="auto"/>
          <w:sz w:val="24"/>
          <w:szCs w:val="24"/>
        </w:rPr>
        <w:t>gap;</w:t>
      </w:r>
      <w:proofErr w:type="gramEnd"/>
      <w:r w:rsidRPr="006849EE">
        <w:rPr>
          <w:rFonts w:asciiTheme="majorHAnsi" w:eastAsiaTheme="minorHAnsi" w:hAnsiTheme="majorHAnsi" w:cs="Times New Roman"/>
          <w:color w:val="auto"/>
          <w:sz w:val="24"/>
          <w:szCs w:val="24"/>
        </w:rPr>
        <w:t xml:space="preserve"> </w:t>
      </w:r>
    </w:p>
    <w:p w14:paraId="4788F0FD"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proofErr w:type="gramStart"/>
      <w:r w:rsidRPr="006849EE">
        <w:rPr>
          <w:rFonts w:asciiTheme="majorHAnsi" w:eastAsiaTheme="minorHAnsi" w:hAnsiTheme="majorHAnsi" w:cs="Times New Roman"/>
          <w:color w:val="auto"/>
          <w:sz w:val="24"/>
          <w:szCs w:val="24"/>
        </w:rPr>
        <w:t>erroneous</w:t>
      </w:r>
      <w:proofErr w:type="gramEnd"/>
      <w:r w:rsidRPr="006849EE">
        <w:rPr>
          <w:rFonts w:asciiTheme="majorHAnsi" w:eastAsiaTheme="minorHAnsi" w:hAnsiTheme="majorHAnsi" w:cs="Times New Roman"/>
          <w:color w:val="auto"/>
          <w:sz w:val="24"/>
          <w:szCs w:val="24"/>
        </w:rPr>
        <w:t xml:space="preserve"> determined the tariff design which is not commensurate with the approved </w:t>
      </w:r>
      <w:proofErr w:type="spellStart"/>
      <w:r w:rsidRPr="006849EE">
        <w:rPr>
          <w:rFonts w:asciiTheme="majorHAnsi" w:eastAsiaTheme="minorHAnsi" w:hAnsiTheme="majorHAnsi" w:cs="Times New Roman"/>
          <w:color w:val="auto"/>
          <w:sz w:val="24"/>
          <w:szCs w:val="24"/>
        </w:rPr>
        <w:t>ACoS</w:t>
      </w:r>
      <w:proofErr w:type="spellEnd"/>
      <w:r w:rsidRPr="006849EE">
        <w:rPr>
          <w:rFonts w:asciiTheme="majorHAnsi" w:eastAsiaTheme="minorHAnsi" w:hAnsiTheme="majorHAnsi" w:cs="Times New Roman"/>
          <w:color w:val="auto"/>
          <w:sz w:val="24"/>
          <w:szCs w:val="24"/>
        </w:rPr>
        <w:t xml:space="preserve"> and </w:t>
      </w:r>
      <w:proofErr w:type="gramStart"/>
      <w:r w:rsidRPr="006849EE">
        <w:rPr>
          <w:rFonts w:asciiTheme="majorHAnsi" w:eastAsiaTheme="minorHAnsi" w:hAnsiTheme="majorHAnsi" w:cs="Times New Roman"/>
          <w:color w:val="auto"/>
          <w:sz w:val="24"/>
          <w:szCs w:val="24"/>
        </w:rPr>
        <w:t>ARR;</w:t>
      </w:r>
      <w:proofErr w:type="gramEnd"/>
    </w:p>
    <w:p w14:paraId="6B91E476"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arbitrarily disallowed the Rebate on sale of </w:t>
      </w:r>
      <w:proofErr w:type="gramStart"/>
      <w:r w:rsidRPr="006849EE">
        <w:rPr>
          <w:rFonts w:asciiTheme="majorHAnsi" w:eastAsiaTheme="minorHAnsi" w:hAnsiTheme="majorHAnsi" w:cs="Times New Roman"/>
          <w:color w:val="auto"/>
          <w:sz w:val="24"/>
          <w:szCs w:val="24"/>
        </w:rPr>
        <w:t>power;</w:t>
      </w:r>
      <w:proofErr w:type="gramEnd"/>
    </w:p>
    <w:p w14:paraId="56F678CE"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disallowed the claimed Interest on Working </w:t>
      </w:r>
      <w:proofErr w:type="gramStart"/>
      <w:r w:rsidRPr="006849EE">
        <w:rPr>
          <w:rFonts w:asciiTheme="majorHAnsi" w:eastAsiaTheme="minorHAnsi" w:hAnsiTheme="majorHAnsi" w:cs="Times New Roman"/>
          <w:color w:val="auto"/>
          <w:sz w:val="24"/>
          <w:szCs w:val="24"/>
        </w:rPr>
        <w:t>Capital;</w:t>
      </w:r>
      <w:proofErr w:type="gramEnd"/>
    </w:p>
    <w:p w14:paraId="48854D14"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disallowed the claim of Environment </w:t>
      </w:r>
      <w:proofErr w:type="gramStart"/>
      <w:r w:rsidRPr="006849EE">
        <w:rPr>
          <w:rFonts w:asciiTheme="majorHAnsi" w:eastAsiaTheme="minorHAnsi" w:hAnsiTheme="majorHAnsi" w:cs="Times New Roman"/>
          <w:color w:val="auto"/>
          <w:sz w:val="24"/>
          <w:szCs w:val="24"/>
        </w:rPr>
        <w:t>Protection;</w:t>
      </w:r>
      <w:proofErr w:type="gramEnd"/>
    </w:p>
    <w:p w14:paraId="3CEAD4BA"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disallowed DVC’s claim for interest </w:t>
      </w:r>
      <w:proofErr w:type="gramStart"/>
      <w:r w:rsidRPr="006849EE">
        <w:rPr>
          <w:rFonts w:asciiTheme="majorHAnsi" w:eastAsiaTheme="minorHAnsi" w:hAnsiTheme="majorHAnsi" w:cs="Times New Roman"/>
          <w:color w:val="auto"/>
          <w:sz w:val="24"/>
          <w:szCs w:val="24"/>
        </w:rPr>
        <w:t>on</w:t>
      </w:r>
      <w:proofErr w:type="gramEnd"/>
      <w:r w:rsidRPr="006849EE">
        <w:rPr>
          <w:rFonts w:asciiTheme="majorHAnsi" w:eastAsiaTheme="minorHAnsi" w:hAnsiTheme="majorHAnsi" w:cs="Times New Roman"/>
          <w:color w:val="auto"/>
          <w:sz w:val="24"/>
          <w:szCs w:val="24"/>
        </w:rPr>
        <w:t xml:space="preserve"> Temporary Financial </w:t>
      </w:r>
      <w:proofErr w:type="gramStart"/>
      <w:r w:rsidRPr="006849EE">
        <w:rPr>
          <w:rFonts w:asciiTheme="majorHAnsi" w:eastAsiaTheme="minorHAnsi" w:hAnsiTheme="majorHAnsi" w:cs="Times New Roman"/>
          <w:color w:val="auto"/>
          <w:sz w:val="24"/>
          <w:szCs w:val="24"/>
        </w:rPr>
        <w:t>Accommodation;</w:t>
      </w:r>
      <w:proofErr w:type="gramEnd"/>
    </w:p>
    <w:p w14:paraId="17EFC2F5"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erred in computation of Transmission and Distribution (“T&amp;D”) </w:t>
      </w:r>
      <w:proofErr w:type="gramStart"/>
      <w:r w:rsidRPr="006849EE">
        <w:rPr>
          <w:rFonts w:asciiTheme="majorHAnsi" w:eastAsiaTheme="minorHAnsi" w:hAnsiTheme="majorHAnsi" w:cs="Times New Roman"/>
          <w:color w:val="auto"/>
          <w:sz w:val="24"/>
          <w:szCs w:val="24"/>
        </w:rPr>
        <w:t>Cost;</w:t>
      </w:r>
      <w:proofErr w:type="gramEnd"/>
    </w:p>
    <w:p w14:paraId="6416ED3F"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Failed to provide any trajectory of adjustment to clear the deficit RPO (Back-log) for previous periods for FY 2016- 17 to FY </w:t>
      </w:r>
      <w:proofErr w:type="gramStart"/>
      <w:r w:rsidRPr="006849EE">
        <w:rPr>
          <w:rFonts w:asciiTheme="majorHAnsi" w:eastAsiaTheme="minorHAnsi" w:hAnsiTheme="majorHAnsi" w:cs="Times New Roman"/>
          <w:color w:val="auto"/>
          <w:sz w:val="24"/>
          <w:szCs w:val="24"/>
        </w:rPr>
        <w:t>2020-21;</w:t>
      </w:r>
      <w:proofErr w:type="gramEnd"/>
    </w:p>
    <w:p w14:paraId="5E986539"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arbitrary deduction Rs. 66.67 crores for FY 2017-18 to FY 2019-20 for Open Access charges &amp; double deduction of open access charges for FY 2022-23 to the tune of 40.92 </w:t>
      </w:r>
      <w:proofErr w:type="gramStart"/>
      <w:r w:rsidRPr="006849EE">
        <w:rPr>
          <w:rFonts w:asciiTheme="majorHAnsi" w:eastAsiaTheme="minorHAnsi" w:hAnsiTheme="majorHAnsi" w:cs="Times New Roman"/>
          <w:color w:val="auto"/>
          <w:sz w:val="24"/>
          <w:szCs w:val="24"/>
        </w:rPr>
        <w:t>crores;</w:t>
      </w:r>
      <w:proofErr w:type="gramEnd"/>
    </w:p>
    <w:p w14:paraId="177025A9"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disallowance of Flue Gas Desulfurization </w:t>
      </w:r>
      <w:proofErr w:type="gramStart"/>
      <w:r w:rsidRPr="006849EE">
        <w:rPr>
          <w:rFonts w:asciiTheme="majorHAnsi" w:eastAsiaTheme="minorHAnsi" w:hAnsiTheme="majorHAnsi" w:cs="Times New Roman"/>
          <w:color w:val="auto"/>
          <w:sz w:val="24"/>
          <w:szCs w:val="24"/>
        </w:rPr>
        <w:t>Cost;</w:t>
      </w:r>
      <w:proofErr w:type="gramEnd"/>
    </w:p>
    <w:p w14:paraId="446171BA"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disallowance of claim for FY 2025-26 regarding fixed charges for 11 kV Distribution Assets; and</w:t>
      </w:r>
    </w:p>
    <w:p w14:paraId="6954C249" w14:textId="77777777" w:rsidR="008C07B8" w:rsidRPr="006849EE" w:rsidRDefault="008C07B8" w:rsidP="008C07B8">
      <w:pPr>
        <w:pStyle w:val="ListParagraph"/>
        <w:numPr>
          <w:ilvl w:val="0"/>
          <w:numId w:val="30"/>
        </w:numPr>
        <w:autoSpaceDE w:val="0"/>
        <w:autoSpaceDN w:val="0"/>
        <w:adjustRightInd w:val="0"/>
        <w:spacing w:line="360" w:lineRule="auto"/>
        <w:ind w:left="2700" w:hanging="540"/>
        <w:jc w:val="both"/>
        <w:rPr>
          <w:rFonts w:asciiTheme="majorHAnsi" w:eastAsiaTheme="minorHAnsi" w:hAnsiTheme="majorHAnsi" w:cs="Times New Roman"/>
          <w:color w:val="auto"/>
          <w:sz w:val="24"/>
          <w:szCs w:val="24"/>
        </w:rPr>
      </w:pPr>
      <w:r w:rsidRPr="006849EE">
        <w:rPr>
          <w:rFonts w:asciiTheme="majorHAnsi" w:eastAsiaTheme="minorHAnsi" w:hAnsiTheme="majorHAnsi" w:cs="Times New Roman"/>
          <w:color w:val="auto"/>
          <w:sz w:val="24"/>
          <w:szCs w:val="24"/>
        </w:rPr>
        <w:t xml:space="preserve">disallowed the Legal Charges and Consultancy fees </w:t>
      </w:r>
    </w:p>
    <w:p w14:paraId="4976E279" w14:textId="77777777" w:rsidR="00C374A1" w:rsidRPr="006849EE" w:rsidRDefault="00C374A1" w:rsidP="00C374A1">
      <w:pPr>
        <w:spacing w:line="360" w:lineRule="auto"/>
        <w:rPr>
          <w:rFonts w:asciiTheme="majorHAnsi" w:hAnsiTheme="majorHAnsi" w:cs="Arial"/>
          <w:b/>
          <w:color w:val="auto"/>
          <w:sz w:val="24"/>
          <w:szCs w:val="24"/>
        </w:rPr>
      </w:pPr>
    </w:p>
    <w:p w14:paraId="497463B1" w14:textId="52BA059D" w:rsidR="00DE5DF8" w:rsidRPr="006849EE" w:rsidRDefault="001D6A10" w:rsidP="006A323F">
      <w:pPr>
        <w:spacing w:line="360" w:lineRule="auto"/>
        <w:jc w:val="both"/>
        <w:rPr>
          <w:rFonts w:asciiTheme="majorHAnsi" w:hAnsiTheme="majorHAnsi" w:cs="Arial"/>
          <w:b/>
          <w:bCs/>
          <w:color w:val="auto"/>
          <w:sz w:val="24"/>
          <w:szCs w:val="24"/>
          <w:u w:val="single"/>
        </w:rPr>
      </w:pPr>
      <w:r w:rsidRPr="006849EE">
        <w:rPr>
          <w:rFonts w:asciiTheme="majorHAnsi" w:hAnsiTheme="majorHAnsi" w:cs="Arial"/>
          <w:b/>
          <w:bCs/>
          <w:color w:val="auto"/>
          <w:sz w:val="24"/>
          <w:szCs w:val="24"/>
          <w:u w:val="single"/>
        </w:rPr>
        <w:t>DETERMINATION OF ARR FOR THE CONTROL PERIO</w:t>
      </w:r>
      <w:r w:rsidR="004D1245" w:rsidRPr="006849EE">
        <w:rPr>
          <w:rFonts w:asciiTheme="majorHAnsi" w:hAnsiTheme="majorHAnsi" w:cs="Arial"/>
          <w:b/>
          <w:bCs/>
          <w:color w:val="auto"/>
          <w:sz w:val="24"/>
          <w:szCs w:val="24"/>
          <w:u w:val="single"/>
        </w:rPr>
        <w:t>D</w:t>
      </w:r>
      <w:r w:rsidRPr="006849EE">
        <w:rPr>
          <w:rFonts w:asciiTheme="majorHAnsi" w:hAnsiTheme="majorHAnsi" w:cs="Arial"/>
          <w:b/>
          <w:bCs/>
          <w:color w:val="auto"/>
          <w:sz w:val="24"/>
          <w:szCs w:val="24"/>
          <w:u w:val="single"/>
        </w:rPr>
        <w:t xml:space="preserve"> FY 2026-27 TO FY 2030-31</w:t>
      </w:r>
      <w:r w:rsidR="0077450B" w:rsidRPr="006849EE">
        <w:rPr>
          <w:rFonts w:asciiTheme="majorHAnsi" w:hAnsiTheme="majorHAnsi" w:cs="Arial"/>
          <w:b/>
          <w:bCs/>
          <w:color w:val="auto"/>
          <w:sz w:val="24"/>
          <w:szCs w:val="24"/>
          <w:u w:val="single"/>
        </w:rPr>
        <w:t xml:space="preserve"> </w:t>
      </w:r>
      <w:r w:rsidRPr="006849EE">
        <w:rPr>
          <w:rFonts w:asciiTheme="majorHAnsi" w:hAnsiTheme="majorHAnsi" w:cs="Arial"/>
          <w:b/>
          <w:bCs/>
          <w:color w:val="auto"/>
          <w:sz w:val="24"/>
          <w:szCs w:val="24"/>
          <w:u w:val="single"/>
        </w:rPr>
        <w:t>&amp; CATEGORY WISE TARIFF FOR FY 202</w:t>
      </w:r>
      <w:r w:rsidR="0077450B" w:rsidRPr="006849EE">
        <w:rPr>
          <w:rFonts w:asciiTheme="majorHAnsi" w:hAnsiTheme="majorHAnsi" w:cs="Arial"/>
          <w:b/>
          <w:bCs/>
          <w:color w:val="auto"/>
          <w:sz w:val="24"/>
          <w:szCs w:val="24"/>
          <w:u w:val="single"/>
        </w:rPr>
        <w:t>6-27</w:t>
      </w:r>
    </w:p>
    <w:p w14:paraId="7B75E071" w14:textId="77777777" w:rsidR="00910FC9" w:rsidRPr="006849EE" w:rsidRDefault="00910FC9" w:rsidP="006A323F">
      <w:pPr>
        <w:spacing w:line="360" w:lineRule="auto"/>
        <w:jc w:val="both"/>
        <w:rPr>
          <w:rFonts w:asciiTheme="majorHAnsi" w:hAnsiTheme="majorHAnsi" w:cs="Arial"/>
          <w:sz w:val="24"/>
          <w:szCs w:val="24"/>
          <w:u w:val="single"/>
        </w:rPr>
      </w:pPr>
    </w:p>
    <w:p w14:paraId="04915120" w14:textId="2CA1778F" w:rsidR="00FA0AAD" w:rsidRPr="006849EE" w:rsidRDefault="00FA0AAD" w:rsidP="00FA0AAD">
      <w:pPr>
        <w:numPr>
          <w:ilvl w:val="0"/>
          <w:numId w:val="1"/>
        </w:numPr>
        <w:tabs>
          <w:tab w:val="clear" w:pos="1080"/>
          <w:tab w:val="num" w:pos="735"/>
        </w:tabs>
        <w:spacing w:line="360" w:lineRule="auto"/>
        <w:ind w:left="734" w:hanging="734"/>
        <w:jc w:val="both"/>
        <w:rPr>
          <w:rFonts w:asciiTheme="majorHAnsi" w:hAnsiTheme="majorHAnsi" w:cs="Arial"/>
          <w:sz w:val="24"/>
          <w:szCs w:val="24"/>
        </w:rPr>
      </w:pPr>
      <w:r w:rsidRPr="006849EE">
        <w:rPr>
          <w:rFonts w:asciiTheme="majorHAnsi" w:hAnsiTheme="majorHAnsi" w:cs="Arial"/>
          <w:sz w:val="24"/>
          <w:szCs w:val="24"/>
        </w:rPr>
        <w:t xml:space="preserve">DVC respectfully submits that the following have been considered as input costs in the current petition while computing the aggregate revenue requirement for </w:t>
      </w:r>
      <w:r w:rsidRPr="006849EE">
        <w:rPr>
          <w:rFonts w:asciiTheme="majorHAnsi" w:hAnsiTheme="majorHAnsi" w:cs="Arial"/>
          <w:sz w:val="24"/>
          <w:szCs w:val="24"/>
        </w:rPr>
        <w:lastRenderedPageBreak/>
        <w:t xml:space="preserve">distribution and retail supply of electricity by DVC in Jharkhand for </w:t>
      </w:r>
      <w:r w:rsidR="006F6A85" w:rsidRPr="006849EE">
        <w:rPr>
          <w:rFonts w:asciiTheme="majorHAnsi" w:hAnsiTheme="majorHAnsi" w:cs="Arial"/>
          <w:sz w:val="24"/>
          <w:szCs w:val="24"/>
        </w:rPr>
        <w:t xml:space="preserve">the control period </w:t>
      </w:r>
      <w:r w:rsidRPr="006849EE">
        <w:rPr>
          <w:rFonts w:asciiTheme="majorHAnsi" w:hAnsiTheme="majorHAnsi" w:cs="Arial"/>
          <w:sz w:val="24"/>
          <w:szCs w:val="24"/>
        </w:rPr>
        <w:t>FY 202</w:t>
      </w:r>
      <w:r w:rsidR="006F6A85" w:rsidRPr="006849EE">
        <w:rPr>
          <w:rFonts w:asciiTheme="majorHAnsi" w:hAnsiTheme="majorHAnsi" w:cs="Arial"/>
          <w:sz w:val="24"/>
          <w:szCs w:val="24"/>
        </w:rPr>
        <w:t>6-27 to FY</w:t>
      </w:r>
      <w:r w:rsidR="008F0969" w:rsidRPr="006849EE">
        <w:rPr>
          <w:rFonts w:asciiTheme="majorHAnsi" w:hAnsiTheme="majorHAnsi" w:cs="Arial"/>
          <w:sz w:val="24"/>
          <w:szCs w:val="24"/>
        </w:rPr>
        <w:t xml:space="preserve"> 2030-31</w:t>
      </w:r>
      <w:r w:rsidRPr="006849EE">
        <w:rPr>
          <w:rFonts w:asciiTheme="majorHAnsi" w:hAnsiTheme="majorHAnsi" w:cs="Arial"/>
          <w:sz w:val="24"/>
          <w:szCs w:val="24"/>
        </w:rPr>
        <w:t>:</w:t>
      </w:r>
    </w:p>
    <w:p w14:paraId="55AD512C" w14:textId="2CD3267C" w:rsidR="00C75CA0" w:rsidRPr="006849EE" w:rsidRDefault="00C75CA0" w:rsidP="00B90377">
      <w:pPr>
        <w:pStyle w:val="ListParagraph"/>
        <w:numPr>
          <w:ilvl w:val="0"/>
          <w:numId w:val="11"/>
        </w:numPr>
        <w:spacing w:line="360" w:lineRule="auto"/>
        <w:jc w:val="both"/>
        <w:rPr>
          <w:rFonts w:asciiTheme="majorHAnsi" w:hAnsiTheme="majorHAnsi" w:cs="Arial"/>
          <w:b/>
          <w:bCs/>
          <w:sz w:val="28"/>
          <w:szCs w:val="28"/>
          <w:u w:val="single"/>
        </w:rPr>
      </w:pPr>
      <w:r w:rsidRPr="006849EE">
        <w:rPr>
          <w:rFonts w:asciiTheme="majorHAnsi" w:hAnsiTheme="majorHAnsi" w:cs="Arial"/>
          <w:b/>
          <w:bCs/>
          <w:sz w:val="28"/>
          <w:szCs w:val="28"/>
          <w:u w:val="single"/>
        </w:rPr>
        <w:t>Own Generation</w:t>
      </w:r>
      <w:r w:rsidR="003519B2" w:rsidRPr="006849EE">
        <w:rPr>
          <w:rFonts w:asciiTheme="majorHAnsi" w:hAnsiTheme="majorHAnsi" w:cs="Arial"/>
          <w:b/>
          <w:bCs/>
          <w:sz w:val="28"/>
          <w:szCs w:val="28"/>
          <w:u w:val="single"/>
        </w:rPr>
        <w:t xml:space="preserve"> Cost</w:t>
      </w:r>
      <w:r w:rsidRPr="006849EE">
        <w:rPr>
          <w:rFonts w:asciiTheme="majorHAnsi" w:hAnsiTheme="majorHAnsi" w:cs="Arial"/>
          <w:b/>
          <w:bCs/>
          <w:sz w:val="28"/>
          <w:szCs w:val="28"/>
          <w:u w:val="single"/>
        </w:rPr>
        <w:t xml:space="preserve">: </w:t>
      </w:r>
    </w:p>
    <w:p w14:paraId="086929E2" w14:textId="3FD03542" w:rsidR="00FB3185" w:rsidRPr="006849EE" w:rsidRDefault="00DB358C" w:rsidP="00DB358C">
      <w:pPr>
        <w:numPr>
          <w:ilvl w:val="0"/>
          <w:numId w:val="1"/>
        </w:numPr>
        <w:tabs>
          <w:tab w:val="clear" w:pos="1080"/>
          <w:tab w:val="num" w:pos="735"/>
        </w:tabs>
        <w:spacing w:line="360" w:lineRule="auto"/>
        <w:ind w:left="734" w:hanging="734"/>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w:t>
      </w:r>
      <w:r w:rsidRPr="006849EE">
        <w:rPr>
          <w:rFonts w:asciiTheme="majorHAnsi" w:hAnsiTheme="majorHAnsi" w:cs="Arial"/>
          <w:sz w:val="24"/>
          <w:szCs w:val="24"/>
        </w:rPr>
        <w:t>respectfully</w:t>
      </w:r>
      <w:r w:rsidRPr="006849EE">
        <w:rPr>
          <w:rFonts w:asciiTheme="majorHAnsi" w:hAnsiTheme="majorHAnsi" w:cs="Arial"/>
          <w:color w:val="auto"/>
          <w:sz w:val="24"/>
          <w:szCs w:val="24"/>
        </w:rPr>
        <w:t xml:space="preserve"> submits that its own generation portfolio comprises Thermal, Hydel, and certain renewable sources. In addition to its existing assets, DVC anticipates commissioning three new thermal generating stations during the control period FY 2026–27 to FY 2030–31, namely: Raghunathpur TPS (RTPS) Phase-II: 2 × 660 MW; </w:t>
      </w:r>
      <w:proofErr w:type="spellStart"/>
      <w:r w:rsidRPr="006849EE">
        <w:rPr>
          <w:rFonts w:asciiTheme="majorHAnsi" w:hAnsiTheme="majorHAnsi" w:cs="Arial"/>
          <w:color w:val="auto"/>
          <w:sz w:val="24"/>
          <w:szCs w:val="24"/>
        </w:rPr>
        <w:t>Koderma</w:t>
      </w:r>
      <w:proofErr w:type="spellEnd"/>
      <w:r w:rsidRPr="006849EE">
        <w:rPr>
          <w:rFonts w:asciiTheme="majorHAnsi" w:hAnsiTheme="majorHAnsi" w:cs="Arial"/>
          <w:color w:val="auto"/>
          <w:sz w:val="24"/>
          <w:szCs w:val="24"/>
        </w:rPr>
        <w:t xml:space="preserve"> TPS (KTPS) Phase-II: 2 × 800 MW; and Durgapur TPS (DTPS) Phase-II: 1 × 800 MW. Further, besides the existing renewable Ground Mounted PV at KTPS</w:t>
      </w:r>
      <w:r w:rsidR="0097000B" w:rsidRPr="006849EE">
        <w:rPr>
          <w:rFonts w:asciiTheme="majorHAnsi" w:hAnsiTheme="majorHAnsi" w:cs="Arial"/>
          <w:color w:val="auto"/>
          <w:sz w:val="24"/>
          <w:szCs w:val="24"/>
        </w:rPr>
        <w:t xml:space="preserve"> (claimed in the ARR of True-up FY 2024–25)</w:t>
      </w:r>
      <w:r w:rsidR="00974009" w:rsidRPr="006849EE">
        <w:rPr>
          <w:rFonts w:asciiTheme="majorHAnsi" w:hAnsiTheme="majorHAnsi" w:cs="Arial"/>
          <w:color w:val="auto"/>
          <w:sz w:val="24"/>
          <w:szCs w:val="24"/>
        </w:rPr>
        <w:t>,</w:t>
      </w:r>
      <w:r w:rsidRPr="006849EE">
        <w:rPr>
          <w:rFonts w:asciiTheme="majorHAnsi" w:hAnsiTheme="majorHAnsi" w:cs="Arial"/>
          <w:color w:val="auto"/>
          <w:sz w:val="24"/>
          <w:szCs w:val="24"/>
        </w:rPr>
        <w:t xml:space="preserve"> DVC has commissioned additional plants, viz. Floating PV at KTPS and Ground Mounted PV at </w:t>
      </w:r>
      <w:proofErr w:type="spellStart"/>
      <w:r w:rsidRPr="006849EE">
        <w:rPr>
          <w:rFonts w:asciiTheme="majorHAnsi" w:hAnsiTheme="majorHAnsi" w:cs="Arial"/>
          <w:color w:val="auto"/>
          <w:sz w:val="24"/>
          <w:szCs w:val="24"/>
        </w:rPr>
        <w:t>Panchet</w:t>
      </w:r>
      <w:proofErr w:type="spellEnd"/>
      <w:r w:rsidRPr="006849EE">
        <w:rPr>
          <w:rFonts w:asciiTheme="majorHAnsi" w:hAnsiTheme="majorHAnsi" w:cs="Arial"/>
          <w:color w:val="auto"/>
          <w:sz w:val="24"/>
          <w:szCs w:val="24"/>
        </w:rPr>
        <w:t xml:space="preserve">; and, based on anticipated CODs, </w:t>
      </w:r>
      <w:r w:rsidR="004A19C1" w:rsidRPr="006849EE">
        <w:rPr>
          <w:rFonts w:asciiTheme="majorHAnsi" w:hAnsiTheme="majorHAnsi" w:cs="Arial"/>
          <w:color w:val="auto"/>
          <w:sz w:val="24"/>
          <w:szCs w:val="24"/>
        </w:rPr>
        <w:t>DVC</w:t>
      </w:r>
      <w:r w:rsidRPr="006849EE">
        <w:rPr>
          <w:rFonts w:asciiTheme="majorHAnsi" w:hAnsiTheme="majorHAnsi" w:cs="Arial"/>
          <w:color w:val="auto"/>
          <w:sz w:val="24"/>
          <w:szCs w:val="24"/>
        </w:rPr>
        <w:t xml:space="preserve"> projects </w:t>
      </w:r>
      <w:r w:rsidR="00B01075" w:rsidRPr="006849EE">
        <w:rPr>
          <w:rFonts w:asciiTheme="majorHAnsi" w:hAnsiTheme="majorHAnsi" w:cs="Arial"/>
          <w:color w:val="auto"/>
          <w:sz w:val="24"/>
          <w:szCs w:val="24"/>
        </w:rPr>
        <w:t xml:space="preserve">the following plants for </w:t>
      </w:r>
      <w:r w:rsidR="004A19C1" w:rsidRPr="006849EE">
        <w:rPr>
          <w:rFonts w:asciiTheme="majorHAnsi" w:hAnsiTheme="majorHAnsi" w:cs="Arial"/>
          <w:color w:val="auto"/>
          <w:sz w:val="24"/>
          <w:szCs w:val="24"/>
        </w:rPr>
        <w:t>the control period</w:t>
      </w:r>
      <w:r w:rsidRPr="006849EE">
        <w:rPr>
          <w:rFonts w:asciiTheme="majorHAnsi" w:hAnsiTheme="majorHAnsi" w:cs="Arial"/>
          <w:color w:val="auto"/>
          <w:sz w:val="24"/>
          <w:szCs w:val="24"/>
        </w:rPr>
        <w:t xml:space="preserve">: </w:t>
      </w:r>
      <w:r w:rsidR="004A19C1" w:rsidRPr="006849EE">
        <w:rPr>
          <w:rFonts w:asciiTheme="majorHAnsi" w:hAnsiTheme="majorHAnsi" w:cs="Arial"/>
          <w:color w:val="auto"/>
          <w:sz w:val="24"/>
          <w:szCs w:val="24"/>
        </w:rPr>
        <w:t xml:space="preserve">6 MW Floating PV at KTPS; 10 MW Floating Solar PV at RTPS; 14 MW Floating </w:t>
      </w:r>
      <w:proofErr w:type="spellStart"/>
      <w:r w:rsidR="004A19C1" w:rsidRPr="006849EE">
        <w:rPr>
          <w:rFonts w:asciiTheme="majorHAnsi" w:hAnsiTheme="majorHAnsi" w:cs="Arial"/>
          <w:color w:val="auto"/>
          <w:sz w:val="24"/>
          <w:szCs w:val="24"/>
        </w:rPr>
        <w:t>Sloar</w:t>
      </w:r>
      <w:proofErr w:type="spellEnd"/>
      <w:r w:rsidR="004A19C1" w:rsidRPr="006849EE">
        <w:rPr>
          <w:rFonts w:asciiTheme="majorHAnsi" w:hAnsiTheme="majorHAnsi" w:cs="Arial"/>
          <w:color w:val="auto"/>
          <w:sz w:val="24"/>
          <w:szCs w:val="24"/>
        </w:rPr>
        <w:t xml:space="preserve"> PV at MTPS; 8 MW Konar (Ground Mounted); 10 MW Floating Solar PV at CTPS; 234 MW Floating Solar PV at </w:t>
      </w:r>
      <w:proofErr w:type="spellStart"/>
      <w:r w:rsidR="004A19C1" w:rsidRPr="006849EE">
        <w:rPr>
          <w:rFonts w:asciiTheme="majorHAnsi" w:hAnsiTheme="majorHAnsi" w:cs="Arial"/>
          <w:color w:val="auto"/>
          <w:sz w:val="24"/>
          <w:szCs w:val="24"/>
        </w:rPr>
        <w:t>Maithon</w:t>
      </w:r>
      <w:proofErr w:type="spellEnd"/>
      <w:r w:rsidR="004A19C1" w:rsidRPr="006849EE">
        <w:rPr>
          <w:rFonts w:asciiTheme="majorHAnsi" w:hAnsiTheme="majorHAnsi" w:cs="Arial"/>
          <w:color w:val="auto"/>
          <w:sz w:val="24"/>
          <w:szCs w:val="24"/>
        </w:rPr>
        <w:t xml:space="preserve"> Dam; and 228 MW Floating Solar PV at Konar Dam</w:t>
      </w:r>
    </w:p>
    <w:p w14:paraId="3E6770F0" w14:textId="5D8F17D7" w:rsidR="009C7FF3" w:rsidRPr="006849EE" w:rsidRDefault="00C0004F" w:rsidP="00FB3185">
      <w:pPr>
        <w:pStyle w:val="ListParagraph"/>
        <w:numPr>
          <w:ilvl w:val="1"/>
          <w:numId w:val="1"/>
        </w:numPr>
        <w:spacing w:line="360" w:lineRule="auto"/>
        <w:jc w:val="both"/>
        <w:rPr>
          <w:rFonts w:asciiTheme="majorHAnsi" w:hAnsiTheme="majorHAnsi" w:cs="Arial"/>
          <w:b/>
          <w:bCs/>
          <w:color w:val="auto"/>
          <w:sz w:val="24"/>
          <w:szCs w:val="24"/>
        </w:rPr>
      </w:pPr>
      <w:r w:rsidRPr="006849EE">
        <w:rPr>
          <w:rFonts w:asciiTheme="majorHAnsi" w:hAnsiTheme="majorHAnsi" w:cs="Arial"/>
          <w:b/>
          <w:bCs/>
          <w:color w:val="auto"/>
          <w:sz w:val="24"/>
          <w:szCs w:val="24"/>
        </w:rPr>
        <w:t>AFC of Own Generation:</w:t>
      </w:r>
      <w:r w:rsidR="00462509" w:rsidRPr="006849EE">
        <w:rPr>
          <w:rFonts w:asciiTheme="majorHAnsi" w:hAnsiTheme="majorHAnsi" w:cs="Arial"/>
          <w:b/>
          <w:bCs/>
          <w:color w:val="auto"/>
          <w:sz w:val="24"/>
          <w:szCs w:val="24"/>
        </w:rPr>
        <w:t xml:space="preserve"> </w:t>
      </w:r>
      <w:r w:rsidR="00450AF9" w:rsidRPr="006849EE">
        <w:rPr>
          <w:rFonts w:asciiTheme="majorHAnsi" w:hAnsiTheme="majorHAnsi" w:cs="Arial"/>
          <w:color w:val="auto"/>
          <w:sz w:val="24"/>
          <w:szCs w:val="24"/>
        </w:rPr>
        <w:t xml:space="preserve">DVC has considered its own generation cost and the cost of its Transmission &amp; Distribution (T&amp;D) system for FY 2026–27 to FY 2030–31 </w:t>
      </w:r>
      <w:proofErr w:type="gramStart"/>
      <w:r w:rsidR="00450AF9" w:rsidRPr="006849EE">
        <w:rPr>
          <w:rFonts w:asciiTheme="majorHAnsi" w:hAnsiTheme="majorHAnsi" w:cs="Arial"/>
          <w:color w:val="auto"/>
          <w:sz w:val="24"/>
          <w:szCs w:val="24"/>
        </w:rPr>
        <w:t>on the basis of</w:t>
      </w:r>
      <w:proofErr w:type="gramEnd"/>
      <w:r w:rsidR="00450AF9" w:rsidRPr="006849EE">
        <w:rPr>
          <w:rFonts w:asciiTheme="majorHAnsi" w:hAnsiTheme="majorHAnsi" w:cs="Arial"/>
          <w:color w:val="auto"/>
          <w:sz w:val="24"/>
          <w:szCs w:val="24"/>
        </w:rPr>
        <w:t xml:space="preserve"> the </w:t>
      </w:r>
      <w:r w:rsidR="00A43DB8" w:rsidRPr="006849EE">
        <w:rPr>
          <w:rFonts w:asciiTheme="majorHAnsi" w:hAnsiTheme="majorHAnsi" w:cs="Arial"/>
          <w:color w:val="auto"/>
          <w:sz w:val="24"/>
          <w:szCs w:val="24"/>
        </w:rPr>
        <w:t>AFC projected</w:t>
      </w:r>
      <w:r w:rsidR="00450AF9" w:rsidRPr="006849EE">
        <w:rPr>
          <w:rFonts w:asciiTheme="majorHAnsi" w:hAnsiTheme="majorHAnsi" w:cs="Arial"/>
          <w:color w:val="auto"/>
          <w:sz w:val="24"/>
          <w:szCs w:val="24"/>
        </w:rPr>
        <w:t xml:space="preserve"> in the petitions filed before the Hon’ble CERC for the 2024–29 tariff period. In the absence of </w:t>
      </w:r>
      <w:proofErr w:type="gramStart"/>
      <w:r w:rsidR="00450AF9" w:rsidRPr="006849EE">
        <w:rPr>
          <w:rFonts w:asciiTheme="majorHAnsi" w:hAnsiTheme="majorHAnsi" w:cs="Arial"/>
          <w:color w:val="auto"/>
          <w:sz w:val="24"/>
          <w:szCs w:val="24"/>
        </w:rPr>
        <w:t>a final</w:t>
      </w:r>
      <w:proofErr w:type="gramEnd"/>
      <w:r w:rsidR="00450AF9" w:rsidRPr="006849EE">
        <w:rPr>
          <w:rFonts w:asciiTheme="majorHAnsi" w:hAnsiTheme="majorHAnsi" w:cs="Arial"/>
          <w:color w:val="auto"/>
          <w:sz w:val="24"/>
          <w:szCs w:val="24"/>
        </w:rPr>
        <w:t xml:space="preserve"> order</w:t>
      </w:r>
      <w:r w:rsidR="00D135BD" w:rsidRPr="006849EE">
        <w:rPr>
          <w:rFonts w:asciiTheme="majorHAnsi" w:hAnsiTheme="majorHAnsi" w:cs="Arial"/>
          <w:color w:val="auto"/>
          <w:sz w:val="24"/>
          <w:szCs w:val="24"/>
        </w:rPr>
        <w:t>s</w:t>
      </w:r>
      <w:r w:rsidR="00450AF9" w:rsidRPr="006849EE">
        <w:rPr>
          <w:rFonts w:asciiTheme="majorHAnsi" w:hAnsiTheme="majorHAnsi" w:cs="Arial"/>
          <w:color w:val="auto"/>
          <w:sz w:val="24"/>
          <w:szCs w:val="24"/>
        </w:rPr>
        <w:t xml:space="preserve"> </w:t>
      </w:r>
      <w:r w:rsidR="00D135BD" w:rsidRPr="006849EE">
        <w:rPr>
          <w:rFonts w:asciiTheme="majorHAnsi" w:hAnsiTheme="majorHAnsi" w:cs="Arial"/>
          <w:color w:val="auto"/>
          <w:sz w:val="24"/>
          <w:szCs w:val="24"/>
        </w:rPr>
        <w:t xml:space="preserve">for True up </w:t>
      </w:r>
      <w:proofErr w:type="gramStart"/>
      <w:r w:rsidR="005A3E3B" w:rsidRPr="006849EE">
        <w:rPr>
          <w:rFonts w:asciiTheme="majorHAnsi" w:hAnsiTheme="majorHAnsi" w:cs="Arial"/>
          <w:color w:val="auto"/>
          <w:sz w:val="24"/>
          <w:szCs w:val="24"/>
        </w:rPr>
        <w:t>of  2019</w:t>
      </w:r>
      <w:proofErr w:type="gramEnd"/>
      <w:r w:rsidR="005A3E3B" w:rsidRPr="006849EE">
        <w:rPr>
          <w:rFonts w:asciiTheme="majorHAnsi" w:hAnsiTheme="majorHAnsi" w:cs="Arial"/>
          <w:color w:val="auto"/>
          <w:sz w:val="24"/>
          <w:szCs w:val="24"/>
        </w:rPr>
        <w:t>-24 and MYT of 2024-29 period</w:t>
      </w:r>
      <w:r w:rsidR="00D135BD" w:rsidRPr="006849EE">
        <w:rPr>
          <w:rFonts w:asciiTheme="majorHAnsi" w:hAnsiTheme="majorHAnsi" w:cs="Arial"/>
          <w:color w:val="auto"/>
          <w:sz w:val="24"/>
          <w:szCs w:val="24"/>
        </w:rPr>
        <w:t xml:space="preserve"> </w:t>
      </w:r>
      <w:r w:rsidR="00450AF9" w:rsidRPr="006849EE">
        <w:rPr>
          <w:rFonts w:asciiTheme="majorHAnsi" w:hAnsiTheme="majorHAnsi" w:cs="Arial"/>
          <w:color w:val="auto"/>
          <w:sz w:val="24"/>
          <w:szCs w:val="24"/>
        </w:rPr>
        <w:t xml:space="preserve">from the Hon’ble Central Commission, the filed values </w:t>
      </w:r>
      <w:r w:rsidR="005A3E3B" w:rsidRPr="006849EE">
        <w:rPr>
          <w:rFonts w:asciiTheme="majorHAnsi" w:hAnsiTheme="majorHAnsi" w:cs="Arial"/>
          <w:color w:val="auto"/>
          <w:sz w:val="24"/>
          <w:szCs w:val="24"/>
        </w:rPr>
        <w:t xml:space="preserve">for </w:t>
      </w:r>
      <w:r w:rsidR="00560C52" w:rsidRPr="006849EE">
        <w:rPr>
          <w:rFonts w:asciiTheme="majorHAnsi" w:hAnsiTheme="majorHAnsi" w:cs="Arial"/>
          <w:color w:val="auto"/>
          <w:sz w:val="24"/>
          <w:szCs w:val="24"/>
        </w:rPr>
        <w:t xml:space="preserve">MYT period 2024-29 </w:t>
      </w:r>
      <w:r w:rsidR="00450AF9" w:rsidRPr="006849EE">
        <w:rPr>
          <w:rFonts w:asciiTheme="majorHAnsi" w:hAnsiTheme="majorHAnsi" w:cs="Arial"/>
          <w:color w:val="auto"/>
          <w:sz w:val="24"/>
          <w:szCs w:val="24"/>
        </w:rPr>
        <w:t xml:space="preserve">have been adopted for </w:t>
      </w:r>
      <w:r w:rsidR="00560C52" w:rsidRPr="006849EE">
        <w:rPr>
          <w:rFonts w:asciiTheme="majorHAnsi" w:hAnsiTheme="majorHAnsi" w:cs="Arial"/>
          <w:color w:val="auto"/>
          <w:sz w:val="24"/>
          <w:szCs w:val="24"/>
        </w:rPr>
        <w:t>projection</w:t>
      </w:r>
      <w:r w:rsidR="00450AF9" w:rsidRPr="006849EE">
        <w:rPr>
          <w:rFonts w:asciiTheme="majorHAnsi" w:hAnsiTheme="majorHAnsi" w:cs="Arial"/>
          <w:color w:val="auto"/>
          <w:sz w:val="24"/>
          <w:szCs w:val="24"/>
        </w:rPr>
        <w:t xml:space="preserve">. These petitions also </w:t>
      </w:r>
      <w:proofErr w:type="gramStart"/>
      <w:r w:rsidR="00450AF9" w:rsidRPr="006849EE">
        <w:rPr>
          <w:rFonts w:asciiTheme="majorHAnsi" w:hAnsiTheme="majorHAnsi" w:cs="Arial"/>
          <w:color w:val="auto"/>
          <w:sz w:val="24"/>
          <w:szCs w:val="24"/>
        </w:rPr>
        <w:t>includes</w:t>
      </w:r>
      <w:proofErr w:type="gramEnd"/>
      <w:r w:rsidR="00450AF9" w:rsidRPr="006849EE">
        <w:rPr>
          <w:rFonts w:asciiTheme="majorHAnsi" w:hAnsiTheme="majorHAnsi" w:cs="Arial"/>
          <w:color w:val="auto"/>
          <w:sz w:val="24"/>
          <w:szCs w:val="24"/>
        </w:rPr>
        <w:t xml:space="preserve"> DVC’s T&amp;D assets, including newly commissioned elements during 2024–29, in accordance with applicable regulatory provisions.</w:t>
      </w:r>
      <w:r w:rsidR="00CB0687" w:rsidRPr="006849EE">
        <w:rPr>
          <w:rFonts w:asciiTheme="majorHAnsi" w:hAnsiTheme="majorHAnsi" w:cs="Arial"/>
          <w:color w:val="auto"/>
          <w:sz w:val="24"/>
          <w:szCs w:val="24"/>
        </w:rPr>
        <w:t xml:space="preserve"> Since submissions before CERC extend up to FY 2028–29 and tariff regulations for 2029–34 </w:t>
      </w:r>
      <w:proofErr w:type="gramStart"/>
      <w:r w:rsidR="00CB0687" w:rsidRPr="006849EE">
        <w:rPr>
          <w:rFonts w:asciiTheme="majorHAnsi" w:hAnsiTheme="majorHAnsi" w:cs="Arial"/>
          <w:color w:val="auto"/>
          <w:sz w:val="24"/>
          <w:szCs w:val="24"/>
        </w:rPr>
        <w:t>are</w:t>
      </w:r>
      <w:proofErr w:type="gramEnd"/>
      <w:r w:rsidR="00CB0687" w:rsidRPr="006849EE">
        <w:rPr>
          <w:rFonts w:asciiTheme="majorHAnsi" w:hAnsiTheme="majorHAnsi" w:cs="Arial"/>
          <w:color w:val="auto"/>
          <w:sz w:val="24"/>
          <w:szCs w:val="24"/>
        </w:rPr>
        <w:t xml:space="preserve"> not yet notified, input costs for FY 2029–30 and FY 2030–31 have been projected using trend analysis of Annual Fixed Charges (AFCs) for the individual generating stations and T&amp;D systems.</w:t>
      </w:r>
      <w:r w:rsidR="00701DB5" w:rsidRPr="006849EE">
        <w:rPr>
          <w:rFonts w:asciiTheme="majorHAnsi" w:hAnsiTheme="majorHAnsi" w:cs="Arial"/>
          <w:color w:val="auto"/>
          <w:sz w:val="24"/>
          <w:szCs w:val="24"/>
        </w:rPr>
        <w:t xml:space="preserve"> </w:t>
      </w:r>
      <w:r w:rsidR="0018318B" w:rsidRPr="006849EE">
        <w:rPr>
          <w:rFonts w:asciiTheme="majorHAnsi" w:hAnsiTheme="majorHAnsi" w:cs="Arial"/>
          <w:color w:val="auto"/>
          <w:sz w:val="24"/>
          <w:szCs w:val="24"/>
        </w:rPr>
        <w:t xml:space="preserve">Relevant </w:t>
      </w:r>
      <w:r w:rsidR="00745BA5" w:rsidRPr="006849EE">
        <w:rPr>
          <w:rFonts w:asciiTheme="majorHAnsi" w:hAnsiTheme="majorHAnsi" w:cs="Arial"/>
          <w:color w:val="auto"/>
          <w:sz w:val="24"/>
          <w:szCs w:val="24"/>
        </w:rPr>
        <w:t>portions of the projected AFC of the existing generating stations submitted before Hon’ble</w:t>
      </w:r>
      <w:r w:rsidR="00226545" w:rsidRPr="006849EE">
        <w:rPr>
          <w:rFonts w:asciiTheme="majorHAnsi" w:hAnsiTheme="majorHAnsi" w:cs="Arial"/>
          <w:color w:val="auto"/>
          <w:sz w:val="24"/>
          <w:szCs w:val="24"/>
        </w:rPr>
        <w:t xml:space="preserve"> </w:t>
      </w:r>
      <w:r w:rsidR="00745BA5" w:rsidRPr="006849EE">
        <w:rPr>
          <w:rFonts w:asciiTheme="majorHAnsi" w:hAnsiTheme="majorHAnsi" w:cs="Arial"/>
          <w:color w:val="auto"/>
          <w:sz w:val="24"/>
          <w:szCs w:val="24"/>
        </w:rPr>
        <w:t xml:space="preserve">CERC is annexed as </w:t>
      </w:r>
      <w:r w:rsidR="00745BA5" w:rsidRPr="006849EE">
        <w:rPr>
          <w:rFonts w:asciiTheme="majorHAnsi" w:hAnsiTheme="majorHAnsi" w:cs="Arial"/>
          <w:b/>
          <w:bCs/>
          <w:color w:val="auto"/>
          <w:sz w:val="24"/>
          <w:szCs w:val="24"/>
        </w:rPr>
        <w:t>A</w:t>
      </w:r>
      <w:r w:rsidR="009E365F" w:rsidRPr="006849EE">
        <w:rPr>
          <w:rFonts w:asciiTheme="majorHAnsi" w:hAnsiTheme="majorHAnsi" w:cs="Arial"/>
          <w:b/>
          <w:bCs/>
          <w:color w:val="auto"/>
          <w:sz w:val="24"/>
          <w:szCs w:val="24"/>
        </w:rPr>
        <w:t>NNEXURE-3</w:t>
      </w:r>
      <w:r w:rsidR="00745BA5" w:rsidRPr="006849EE">
        <w:rPr>
          <w:rFonts w:asciiTheme="majorHAnsi" w:hAnsiTheme="majorHAnsi" w:cs="Arial"/>
          <w:b/>
          <w:bCs/>
          <w:color w:val="auto"/>
          <w:sz w:val="24"/>
          <w:szCs w:val="24"/>
        </w:rPr>
        <w:t>.</w:t>
      </w:r>
      <w:r w:rsidR="00745BA5" w:rsidRPr="006849EE">
        <w:rPr>
          <w:rFonts w:asciiTheme="majorHAnsi" w:hAnsiTheme="majorHAnsi" w:cs="Arial"/>
          <w:color w:val="auto"/>
          <w:sz w:val="24"/>
          <w:szCs w:val="24"/>
        </w:rPr>
        <w:t xml:space="preserve"> </w:t>
      </w:r>
      <w:r w:rsidR="00226545" w:rsidRPr="006849EE">
        <w:rPr>
          <w:rFonts w:asciiTheme="majorHAnsi" w:hAnsiTheme="majorHAnsi" w:cs="Arial"/>
          <w:color w:val="auto"/>
          <w:sz w:val="24"/>
          <w:szCs w:val="24"/>
        </w:rPr>
        <w:t xml:space="preserve">As submitted, while DVC anticipates commissioning three new thermal stations within FY 2026–27 to FY 2030–31, these projects are expected to achieve COD from FY 2028–29 onwards. Accordingly, no capital cost or O&amp;M </w:t>
      </w:r>
      <w:r w:rsidR="00226545" w:rsidRPr="006849EE">
        <w:rPr>
          <w:rFonts w:asciiTheme="majorHAnsi" w:hAnsiTheme="majorHAnsi" w:cs="Arial"/>
          <w:color w:val="auto"/>
          <w:sz w:val="24"/>
          <w:szCs w:val="24"/>
        </w:rPr>
        <w:lastRenderedPageBreak/>
        <w:t>expenditure</w:t>
      </w:r>
      <w:r w:rsidR="00303991" w:rsidRPr="006849EE">
        <w:rPr>
          <w:rFonts w:asciiTheme="majorHAnsi" w:hAnsiTheme="majorHAnsi" w:cs="Arial"/>
          <w:color w:val="auto"/>
          <w:sz w:val="24"/>
          <w:szCs w:val="24"/>
        </w:rPr>
        <w:t>s</w:t>
      </w:r>
      <w:r w:rsidR="00226545" w:rsidRPr="006849EE">
        <w:rPr>
          <w:rFonts w:asciiTheme="majorHAnsi" w:hAnsiTheme="majorHAnsi" w:cs="Arial"/>
          <w:color w:val="auto"/>
          <w:sz w:val="24"/>
          <w:szCs w:val="24"/>
        </w:rPr>
        <w:t xml:space="preserve"> for these stations </w:t>
      </w:r>
      <w:r w:rsidR="00303991" w:rsidRPr="006849EE">
        <w:rPr>
          <w:rFonts w:asciiTheme="majorHAnsi" w:hAnsiTheme="majorHAnsi" w:cs="Arial"/>
          <w:color w:val="auto"/>
          <w:sz w:val="24"/>
          <w:szCs w:val="24"/>
        </w:rPr>
        <w:t>have been</w:t>
      </w:r>
      <w:r w:rsidR="00226545" w:rsidRPr="006849EE">
        <w:rPr>
          <w:rFonts w:asciiTheme="majorHAnsi" w:hAnsiTheme="majorHAnsi" w:cs="Arial"/>
          <w:color w:val="auto"/>
          <w:sz w:val="24"/>
          <w:szCs w:val="24"/>
        </w:rPr>
        <w:t xml:space="preserve"> proposed in the FY 2026–27 tariff</w:t>
      </w:r>
      <w:r w:rsidR="008B7269" w:rsidRPr="006849EE">
        <w:rPr>
          <w:rFonts w:asciiTheme="majorHAnsi" w:hAnsiTheme="majorHAnsi" w:cs="Arial"/>
          <w:color w:val="auto"/>
          <w:sz w:val="24"/>
          <w:szCs w:val="24"/>
        </w:rPr>
        <w:t>.</w:t>
      </w:r>
      <w:r w:rsidR="00226545" w:rsidRPr="006849EE">
        <w:rPr>
          <w:rFonts w:asciiTheme="majorHAnsi" w:hAnsiTheme="majorHAnsi" w:cs="Arial"/>
          <w:color w:val="auto"/>
          <w:sz w:val="24"/>
          <w:szCs w:val="24"/>
        </w:rPr>
        <w:t xml:space="preserve"> </w:t>
      </w:r>
      <w:r w:rsidR="008B7269" w:rsidRPr="006849EE">
        <w:rPr>
          <w:rFonts w:asciiTheme="majorHAnsi" w:hAnsiTheme="majorHAnsi" w:cs="Arial"/>
          <w:color w:val="auto"/>
          <w:sz w:val="24"/>
          <w:szCs w:val="24"/>
        </w:rPr>
        <w:t>T</w:t>
      </w:r>
      <w:r w:rsidR="00226545" w:rsidRPr="006849EE">
        <w:rPr>
          <w:rFonts w:asciiTheme="majorHAnsi" w:hAnsiTheme="majorHAnsi" w:cs="Arial"/>
          <w:color w:val="auto"/>
          <w:sz w:val="24"/>
          <w:szCs w:val="24"/>
        </w:rPr>
        <w:t xml:space="preserve">ariff petitions for these stations will be filed upon actual COD in line with the CERC Tariff Regulations, 2024. </w:t>
      </w:r>
      <w:r w:rsidR="00F53483" w:rsidRPr="006849EE">
        <w:rPr>
          <w:rFonts w:asciiTheme="majorHAnsi" w:hAnsiTheme="majorHAnsi" w:cs="Arial"/>
          <w:color w:val="auto"/>
          <w:sz w:val="24"/>
          <w:szCs w:val="24"/>
        </w:rPr>
        <w:t>Given their expected commissioning within the control period</w:t>
      </w:r>
      <w:r w:rsidR="004B7E19" w:rsidRPr="006849EE">
        <w:rPr>
          <w:rFonts w:asciiTheme="majorHAnsi" w:hAnsiTheme="majorHAnsi" w:cs="Arial"/>
          <w:color w:val="auto"/>
          <w:sz w:val="24"/>
          <w:szCs w:val="24"/>
        </w:rPr>
        <w:t>. The</w:t>
      </w:r>
      <w:r w:rsidR="00F53483" w:rsidRPr="006849EE">
        <w:rPr>
          <w:rFonts w:asciiTheme="majorHAnsi" w:hAnsiTheme="majorHAnsi" w:cs="Arial"/>
          <w:color w:val="auto"/>
          <w:sz w:val="24"/>
          <w:szCs w:val="24"/>
        </w:rPr>
        <w:t xml:space="preserve"> generation (MUs) and input cost estimates for these projected plants</w:t>
      </w:r>
      <w:r w:rsidR="00F53483" w:rsidRPr="006849EE">
        <w:rPr>
          <w:rFonts w:asciiTheme="majorHAnsi" w:hAnsiTheme="majorHAnsi" w:cs="Arial"/>
          <w:b/>
          <w:bCs/>
          <w:color w:val="auto"/>
          <w:sz w:val="24"/>
          <w:szCs w:val="24"/>
        </w:rPr>
        <w:t xml:space="preserve"> </w:t>
      </w:r>
      <w:r w:rsidR="00F53483" w:rsidRPr="006849EE">
        <w:rPr>
          <w:rFonts w:asciiTheme="majorHAnsi" w:hAnsiTheme="majorHAnsi" w:cs="Arial"/>
          <w:color w:val="auto"/>
          <w:sz w:val="24"/>
          <w:szCs w:val="24"/>
        </w:rPr>
        <w:t>have been developed using a prudent and justified methodology</w:t>
      </w:r>
      <w:r w:rsidR="00044360" w:rsidRPr="006849EE">
        <w:rPr>
          <w:rFonts w:asciiTheme="majorHAnsi" w:hAnsiTheme="majorHAnsi" w:cs="Arial"/>
          <w:color w:val="auto"/>
          <w:sz w:val="24"/>
          <w:szCs w:val="24"/>
        </w:rPr>
        <w:t>.</w:t>
      </w:r>
    </w:p>
    <w:p w14:paraId="04F2A6AD" w14:textId="694332A3" w:rsidR="00DC37FD" w:rsidRPr="006849EE" w:rsidRDefault="00A64155" w:rsidP="00DC37FD">
      <w:pPr>
        <w:pStyle w:val="ListParagraph"/>
        <w:numPr>
          <w:ilvl w:val="1"/>
          <w:numId w:val="1"/>
        </w:numPr>
        <w:spacing w:line="360" w:lineRule="auto"/>
        <w:jc w:val="both"/>
        <w:rPr>
          <w:rFonts w:asciiTheme="majorHAnsi" w:hAnsiTheme="majorHAnsi" w:cs="Arial"/>
          <w:color w:val="auto"/>
          <w:sz w:val="24"/>
          <w:szCs w:val="24"/>
        </w:rPr>
      </w:pPr>
      <w:r w:rsidRPr="006849EE">
        <w:rPr>
          <w:rFonts w:asciiTheme="majorHAnsi" w:hAnsiTheme="majorHAnsi" w:cs="Arial"/>
          <w:b/>
          <w:bCs/>
          <w:color w:val="auto"/>
          <w:sz w:val="24"/>
          <w:szCs w:val="24"/>
        </w:rPr>
        <w:t>Cost</w:t>
      </w:r>
      <w:r w:rsidR="00DD32B5" w:rsidRPr="006849EE">
        <w:rPr>
          <w:rFonts w:asciiTheme="majorHAnsi" w:hAnsiTheme="majorHAnsi" w:cs="Arial"/>
          <w:b/>
          <w:bCs/>
          <w:color w:val="auto"/>
          <w:sz w:val="24"/>
          <w:szCs w:val="24"/>
        </w:rPr>
        <w:t xml:space="preserve"> of FGDs: </w:t>
      </w:r>
      <w:r w:rsidR="00507F39" w:rsidRPr="006849EE">
        <w:rPr>
          <w:rFonts w:asciiTheme="majorHAnsi" w:hAnsiTheme="majorHAnsi" w:cs="Arial"/>
          <w:color w:val="auto"/>
          <w:sz w:val="24"/>
          <w:szCs w:val="24"/>
        </w:rPr>
        <w:t xml:space="preserve">DVC further submits that Flue Gas Desulfurization (FGD) systems, forming part of the Emission Control System (ECS), have been commissioned and are in commercial operation on the units listed below. </w:t>
      </w:r>
      <w:r w:rsidR="00E36F46" w:rsidRPr="006849EE">
        <w:rPr>
          <w:rFonts w:asciiTheme="majorHAnsi" w:hAnsiTheme="majorHAnsi" w:cs="Arial"/>
          <w:color w:val="auto"/>
          <w:sz w:val="24"/>
          <w:szCs w:val="24"/>
        </w:rPr>
        <w:t xml:space="preserve">DVC has already filed petitions before CERC for tariff determination of each ECS and has accordingly considered the AFC submitted for FY 2024–25, claiming the same for all the years of the control period FY 2026–27 to FY 2030–31 in the absence of a final tariff order issued by CERC. </w:t>
      </w:r>
      <w:r w:rsidR="00825367" w:rsidRPr="006849EE">
        <w:rPr>
          <w:rFonts w:asciiTheme="majorHAnsi" w:hAnsiTheme="majorHAnsi" w:cs="Arial"/>
          <w:color w:val="auto"/>
          <w:sz w:val="24"/>
          <w:szCs w:val="24"/>
        </w:rPr>
        <w:t xml:space="preserve"> </w:t>
      </w:r>
      <w:r w:rsidR="00507F39" w:rsidRPr="006849EE">
        <w:rPr>
          <w:rFonts w:asciiTheme="majorHAnsi" w:hAnsiTheme="majorHAnsi" w:cs="Arial"/>
          <w:color w:val="auto"/>
          <w:sz w:val="24"/>
          <w:szCs w:val="24"/>
        </w:rPr>
        <w:t xml:space="preserve">DVC prays that the Hon’ble Commission </w:t>
      </w:r>
      <w:r w:rsidR="00362FFA" w:rsidRPr="006849EE">
        <w:rPr>
          <w:rFonts w:asciiTheme="majorHAnsi" w:hAnsiTheme="majorHAnsi" w:cs="Arial"/>
          <w:color w:val="auto"/>
          <w:sz w:val="24"/>
          <w:szCs w:val="24"/>
        </w:rPr>
        <w:t xml:space="preserve">may </w:t>
      </w:r>
      <w:r w:rsidR="00507F39" w:rsidRPr="006849EE">
        <w:rPr>
          <w:rFonts w:asciiTheme="majorHAnsi" w:hAnsiTheme="majorHAnsi" w:cs="Arial"/>
          <w:color w:val="auto"/>
          <w:sz w:val="24"/>
          <w:szCs w:val="24"/>
        </w:rPr>
        <w:t xml:space="preserve">allow the FGD costs provisionally, subject to revision upon issuance of the relevant CERC orders. The relevant extracts of the petition filed before CERC are attached as </w:t>
      </w:r>
      <w:r w:rsidR="00507F39" w:rsidRPr="006849EE">
        <w:rPr>
          <w:rFonts w:asciiTheme="majorHAnsi" w:hAnsiTheme="majorHAnsi" w:cs="Arial"/>
          <w:b/>
          <w:bCs/>
          <w:color w:val="auto"/>
          <w:sz w:val="24"/>
          <w:szCs w:val="24"/>
        </w:rPr>
        <w:t>A</w:t>
      </w:r>
      <w:r w:rsidR="009E365F" w:rsidRPr="006849EE">
        <w:rPr>
          <w:rFonts w:asciiTheme="majorHAnsi" w:hAnsiTheme="majorHAnsi" w:cs="Arial"/>
          <w:b/>
          <w:bCs/>
          <w:color w:val="auto"/>
          <w:sz w:val="24"/>
          <w:szCs w:val="24"/>
        </w:rPr>
        <w:t>N</w:t>
      </w:r>
      <w:r w:rsidR="00AD09B6" w:rsidRPr="006849EE">
        <w:rPr>
          <w:rFonts w:asciiTheme="majorHAnsi" w:hAnsiTheme="majorHAnsi" w:cs="Arial"/>
          <w:b/>
          <w:bCs/>
          <w:color w:val="auto"/>
          <w:sz w:val="24"/>
          <w:szCs w:val="24"/>
        </w:rPr>
        <w:t>NEXURE-4</w:t>
      </w:r>
      <w:r w:rsidR="00507F39" w:rsidRPr="006849EE">
        <w:rPr>
          <w:rFonts w:asciiTheme="majorHAnsi" w:hAnsiTheme="majorHAnsi" w:cs="Arial"/>
          <w:b/>
          <w:bCs/>
          <w:color w:val="auto"/>
          <w:sz w:val="24"/>
          <w:szCs w:val="24"/>
        </w:rPr>
        <w:t xml:space="preserve">. </w:t>
      </w:r>
    </w:p>
    <w:tbl>
      <w:tblPr>
        <w:tblStyle w:val="TableGrid1"/>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651"/>
        <w:gridCol w:w="5043"/>
      </w:tblGrid>
      <w:tr w:rsidR="00DC37FD" w:rsidRPr="006849EE" w14:paraId="5301306B" w14:textId="77777777" w:rsidTr="00DC37FD">
        <w:trPr>
          <w:trHeight w:val="576"/>
          <w:jc w:val="right"/>
        </w:trPr>
        <w:tc>
          <w:tcPr>
            <w:tcW w:w="0" w:type="auto"/>
          </w:tcPr>
          <w:p w14:paraId="6BF0EA6D" w14:textId="77777777" w:rsidR="00DC37FD" w:rsidRPr="006849EE" w:rsidRDefault="00DC37FD" w:rsidP="00176D39">
            <w:pPr>
              <w:autoSpaceDE w:val="0"/>
              <w:autoSpaceDN w:val="0"/>
              <w:adjustRightInd w:val="0"/>
              <w:spacing w:before="240"/>
              <w:jc w:val="center"/>
              <w:rPr>
                <w:rFonts w:asciiTheme="majorHAnsi" w:hAnsiTheme="majorHAnsi" w:cs="Arial"/>
                <w:color w:val="auto"/>
                <w:sz w:val="24"/>
                <w:szCs w:val="24"/>
              </w:rPr>
            </w:pPr>
            <w:r w:rsidRPr="006849EE">
              <w:rPr>
                <w:rFonts w:asciiTheme="majorHAnsi" w:hAnsiTheme="majorHAnsi" w:cs="Arial"/>
                <w:color w:val="auto"/>
                <w:sz w:val="24"/>
                <w:szCs w:val="24"/>
              </w:rPr>
              <w:t>Sl. No.</w:t>
            </w:r>
          </w:p>
        </w:tc>
        <w:tc>
          <w:tcPr>
            <w:tcW w:w="0" w:type="auto"/>
          </w:tcPr>
          <w:p w14:paraId="145E3E8D" w14:textId="77777777" w:rsidR="00DC37FD" w:rsidRPr="006849EE" w:rsidRDefault="00DC37FD" w:rsidP="00176D39">
            <w:pPr>
              <w:autoSpaceDE w:val="0"/>
              <w:autoSpaceDN w:val="0"/>
              <w:adjustRightInd w:val="0"/>
              <w:spacing w:before="240"/>
              <w:jc w:val="center"/>
              <w:rPr>
                <w:rFonts w:asciiTheme="majorHAnsi" w:hAnsiTheme="majorHAnsi" w:cs="Arial"/>
                <w:color w:val="auto"/>
                <w:sz w:val="24"/>
                <w:szCs w:val="24"/>
              </w:rPr>
            </w:pPr>
            <w:r w:rsidRPr="006849EE">
              <w:rPr>
                <w:rFonts w:asciiTheme="majorHAnsi" w:hAnsiTheme="majorHAnsi" w:cs="Arial"/>
                <w:color w:val="auto"/>
                <w:sz w:val="24"/>
                <w:szCs w:val="24"/>
              </w:rPr>
              <w:t>Station &amp; Unit</w:t>
            </w:r>
          </w:p>
        </w:tc>
        <w:tc>
          <w:tcPr>
            <w:tcW w:w="0" w:type="auto"/>
          </w:tcPr>
          <w:p w14:paraId="7E9270E0" w14:textId="77777777" w:rsidR="00DC37FD" w:rsidRPr="006849EE" w:rsidRDefault="00DC37FD" w:rsidP="00176D39">
            <w:pPr>
              <w:autoSpaceDE w:val="0"/>
              <w:autoSpaceDN w:val="0"/>
              <w:adjustRightInd w:val="0"/>
              <w:spacing w:before="240"/>
              <w:jc w:val="center"/>
              <w:rPr>
                <w:rFonts w:asciiTheme="majorHAnsi" w:hAnsiTheme="majorHAnsi" w:cs="Arial"/>
                <w:color w:val="auto"/>
                <w:sz w:val="24"/>
                <w:szCs w:val="24"/>
              </w:rPr>
            </w:pPr>
            <w:r w:rsidRPr="006849EE">
              <w:rPr>
                <w:rFonts w:asciiTheme="majorHAnsi" w:hAnsiTheme="majorHAnsi" w:cs="Arial"/>
                <w:color w:val="auto"/>
                <w:sz w:val="24"/>
                <w:szCs w:val="24"/>
              </w:rPr>
              <w:t>Date of Commercial Operation (DD/MM/YYYY)</w:t>
            </w:r>
          </w:p>
        </w:tc>
      </w:tr>
      <w:tr w:rsidR="00DC37FD" w:rsidRPr="006849EE" w14:paraId="5AFB1D2C" w14:textId="77777777" w:rsidTr="00DC37FD">
        <w:trPr>
          <w:trHeight w:val="350"/>
          <w:jc w:val="right"/>
        </w:trPr>
        <w:tc>
          <w:tcPr>
            <w:tcW w:w="0" w:type="auto"/>
            <w:vAlign w:val="center"/>
          </w:tcPr>
          <w:p w14:paraId="6FAB5A33"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1</w:t>
            </w:r>
          </w:p>
        </w:tc>
        <w:tc>
          <w:tcPr>
            <w:tcW w:w="0" w:type="auto"/>
          </w:tcPr>
          <w:p w14:paraId="1BB054DC"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MTPS U#7</w:t>
            </w:r>
          </w:p>
        </w:tc>
        <w:tc>
          <w:tcPr>
            <w:tcW w:w="0" w:type="auto"/>
          </w:tcPr>
          <w:p w14:paraId="56B438FD"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26/01/2024</w:t>
            </w:r>
          </w:p>
        </w:tc>
      </w:tr>
      <w:tr w:rsidR="00DC37FD" w:rsidRPr="006849EE" w14:paraId="45703275" w14:textId="77777777" w:rsidTr="00DC37FD">
        <w:trPr>
          <w:trHeight w:val="355"/>
          <w:jc w:val="right"/>
        </w:trPr>
        <w:tc>
          <w:tcPr>
            <w:tcW w:w="0" w:type="auto"/>
            <w:vAlign w:val="center"/>
          </w:tcPr>
          <w:p w14:paraId="6E9B03F6"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2</w:t>
            </w:r>
          </w:p>
        </w:tc>
        <w:tc>
          <w:tcPr>
            <w:tcW w:w="0" w:type="auto"/>
          </w:tcPr>
          <w:p w14:paraId="4BF3F28C"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MTPS U#8</w:t>
            </w:r>
          </w:p>
        </w:tc>
        <w:tc>
          <w:tcPr>
            <w:tcW w:w="0" w:type="auto"/>
          </w:tcPr>
          <w:p w14:paraId="68ACBA33"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29/03/2024</w:t>
            </w:r>
          </w:p>
        </w:tc>
      </w:tr>
      <w:tr w:rsidR="00DC37FD" w:rsidRPr="006849EE" w14:paraId="3A064655" w14:textId="77777777" w:rsidTr="00DC37FD">
        <w:trPr>
          <w:trHeight w:val="350"/>
          <w:jc w:val="right"/>
        </w:trPr>
        <w:tc>
          <w:tcPr>
            <w:tcW w:w="0" w:type="auto"/>
            <w:vAlign w:val="center"/>
          </w:tcPr>
          <w:p w14:paraId="7C4C9CF9"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3</w:t>
            </w:r>
          </w:p>
        </w:tc>
        <w:tc>
          <w:tcPr>
            <w:tcW w:w="0" w:type="auto"/>
          </w:tcPr>
          <w:p w14:paraId="222F00EF"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DSTPS U#1</w:t>
            </w:r>
          </w:p>
        </w:tc>
        <w:tc>
          <w:tcPr>
            <w:tcW w:w="0" w:type="auto"/>
          </w:tcPr>
          <w:p w14:paraId="004389B3"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01/04/2024</w:t>
            </w:r>
          </w:p>
        </w:tc>
      </w:tr>
      <w:tr w:rsidR="00DC37FD" w:rsidRPr="006849EE" w14:paraId="3BEE3890" w14:textId="77777777" w:rsidTr="00DC37FD">
        <w:trPr>
          <w:trHeight w:val="350"/>
          <w:jc w:val="right"/>
        </w:trPr>
        <w:tc>
          <w:tcPr>
            <w:tcW w:w="0" w:type="auto"/>
            <w:vAlign w:val="center"/>
          </w:tcPr>
          <w:p w14:paraId="1DC50E76"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4</w:t>
            </w:r>
          </w:p>
        </w:tc>
        <w:tc>
          <w:tcPr>
            <w:tcW w:w="0" w:type="auto"/>
          </w:tcPr>
          <w:p w14:paraId="2BC89617"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RTPS U#1</w:t>
            </w:r>
          </w:p>
        </w:tc>
        <w:tc>
          <w:tcPr>
            <w:tcW w:w="0" w:type="auto"/>
          </w:tcPr>
          <w:p w14:paraId="4932C64C"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21/04/2024</w:t>
            </w:r>
          </w:p>
        </w:tc>
      </w:tr>
      <w:tr w:rsidR="00DC37FD" w:rsidRPr="006849EE" w14:paraId="59144628" w14:textId="77777777" w:rsidTr="00DC37FD">
        <w:trPr>
          <w:trHeight w:val="355"/>
          <w:jc w:val="right"/>
        </w:trPr>
        <w:tc>
          <w:tcPr>
            <w:tcW w:w="0" w:type="auto"/>
            <w:vAlign w:val="center"/>
          </w:tcPr>
          <w:p w14:paraId="3CFCB5D1"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5</w:t>
            </w:r>
          </w:p>
        </w:tc>
        <w:tc>
          <w:tcPr>
            <w:tcW w:w="0" w:type="auto"/>
          </w:tcPr>
          <w:p w14:paraId="45D7F408"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BTPS-A</w:t>
            </w:r>
          </w:p>
        </w:tc>
        <w:tc>
          <w:tcPr>
            <w:tcW w:w="0" w:type="auto"/>
          </w:tcPr>
          <w:p w14:paraId="08B9C056"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22/06/2024</w:t>
            </w:r>
          </w:p>
        </w:tc>
      </w:tr>
      <w:tr w:rsidR="00DC37FD" w:rsidRPr="006849EE" w14:paraId="42F9365E" w14:textId="77777777" w:rsidTr="00DC37FD">
        <w:trPr>
          <w:trHeight w:val="350"/>
          <w:jc w:val="right"/>
        </w:trPr>
        <w:tc>
          <w:tcPr>
            <w:tcW w:w="0" w:type="auto"/>
            <w:vAlign w:val="center"/>
          </w:tcPr>
          <w:p w14:paraId="79D45F18"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6</w:t>
            </w:r>
          </w:p>
        </w:tc>
        <w:tc>
          <w:tcPr>
            <w:tcW w:w="0" w:type="auto"/>
          </w:tcPr>
          <w:p w14:paraId="63511181"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KTPS U#1</w:t>
            </w:r>
          </w:p>
        </w:tc>
        <w:tc>
          <w:tcPr>
            <w:tcW w:w="0" w:type="auto"/>
          </w:tcPr>
          <w:p w14:paraId="38197062" w14:textId="77777777" w:rsidR="00DC37FD" w:rsidRPr="006849EE" w:rsidRDefault="00DC37FD" w:rsidP="00176D39">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02/07/2024</w:t>
            </w:r>
          </w:p>
        </w:tc>
      </w:tr>
      <w:tr w:rsidR="00050F4E" w:rsidRPr="006849EE" w14:paraId="0E753AA9" w14:textId="77777777" w:rsidTr="00DC37FD">
        <w:trPr>
          <w:trHeight w:val="350"/>
          <w:jc w:val="right"/>
        </w:trPr>
        <w:tc>
          <w:tcPr>
            <w:tcW w:w="0" w:type="auto"/>
            <w:vAlign w:val="center"/>
          </w:tcPr>
          <w:p w14:paraId="0ABACA77" w14:textId="39888EFA"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7</w:t>
            </w:r>
          </w:p>
        </w:tc>
        <w:tc>
          <w:tcPr>
            <w:tcW w:w="0" w:type="auto"/>
          </w:tcPr>
          <w:p w14:paraId="3AF5E623" w14:textId="2F45C41B" w:rsidR="00050F4E" w:rsidRPr="006849EE" w:rsidRDefault="00050F4E" w:rsidP="00050F4E">
            <w:pPr>
              <w:autoSpaceDE w:val="0"/>
              <w:autoSpaceDN w:val="0"/>
              <w:adjustRightInd w:val="0"/>
              <w:spacing w:line="276" w:lineRule="auto"/>
              <w:jc w:val="center"/>
              <w:rPr>
                <w:rFonts w:asciiTheme="majorHAnsi" w:hAnsiTheme="majorHAnsi"/>
                <w:sz w:val="24"/>
                <w:szCs w:val="24"/>
              </w:rPr>
            </w:pPr>
            <w:r w:rsidRPr="006849EE">
              <w:rPr>
                <w:rFonts w:asciiTheme="majorHAnsi" w:hAnsiTheme="majorHAnsi"/>
                <w:sz w:val="24"/>
                <w:szCs w:val="24"/>
              </w:rPr>
              <w:t>KTPS U#2</w:t>
            </w:r>
          </w:p>
        </w:tc>
        <w:tc>
          <w:tcPr>
            <w:tcW w:w="0" w:type="auto"/>
          </w:tcPr>
          <w:p w14:paraId="068A9B52" w14:textId="3E59BEF2" w:rsidR="00050F4E" w:rsidRPr="006849EE" w:rsidRDefault="00050F4E" w:rsidP="00050F4E">
            <w:pPr>
              <w:autoSpaceDE w:val="0"/>
              <w:autoSpaceDN w:val="0"/>
              <w:adjustRightInd w:val="0"/>
              <w:spacing w:line="276" w:lineRule="auto"/>
              <w:jc w:val="center"/>
              <w:rPr>
                <w:rFonts w:asciiTheme="majorHAnsi" w:hAnsiTheme="majorHAnsi"/>
                <w:sz w:val="24"/>
                <w:szCs w:val="24"/>
              </w:rPr>
            </w:pPr>
            <w:r w:rsidRPr="006849EE">
              <w:rPr>
                <w:rFonts w:asciiTheme="majorHAnsi" w:hAnsiTheme="majorHAnsi"/>
                <w:sz w:val="24"/>
                <w:szCs w:val="24"/>
              </w:rPr>
              <w:t>01/</w:t>
            </w:r>
            <w:r w:rsidR="00EE0631" w:rsidRPr="006849EE">
              <w:rPr>
                <w:rFonts w:asciiTheme="majorHAnsi" w:hAnsiTheme="majorHAnsi"/>
                <w:sz w:val="24"/>
                <w:szCs w:val="24"/>
              </w:rPr>
              <w:t>04/2025</w:t>
            </w:r>
          </w:p>
        </w:tc>
      </w:tr>
      <w:tr w:rsidR="00050F4E" w:rsidRPr="006849EE" w14:paraId="02C62CD4" w14:textId="77777777" w:rsidTr="00DC37FD">
        <w:trPr>
          <w:trHeight w:val="355"/>
          <w:jc w:val="right"/>
        </w:trPr>
        <w:tc>
          <w:tcPr>
            <w:tcW w:w="0" w:type="auto"/>
            <w:vAlign w:val="center"/>
          </w:tcPr>
          <w:p w14:paraId="6DA79B06" w14:textId="60471680"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8</w:t>
            </w:r>
          </w:p>
        </w:tc>
        <w:tc>
          <w:tcPr>
            <w:tcW w:w="0" w:type="auto"/>
          </w:tcPr>
          <w:p w14:paraId="51F31E14" w14:textId="77777777"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RTPS U #2</w:t>
            </w:r>
          </w:p>
        </w:tc>
        <w:tc>
          <w:tcPr>
            <w:tcW w:w="0" w:type="auto"/>
          </w:tcPr>
          <w:p w14:paraId="76D5CA7E" w14:textId="77777777"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14/12/2024</w:t>
            </w:r>
          </w:p>
        </w:tc>
      </w:tr>
      <w:tr w:rsidR="00050F4E" w:rsidRPr="006849EE" w14:paraId="1FB22B79" w14:textId="77777777" w:rsidTr="00DC37FD">
        <w:trPr>
          <w:trHeight w:val="350"/>
          <w:jc w:val="right"/>
        </w:trPr>
        <w:tc>
          <w:tcPr>
            <w:tcW w:w="0" w:type="auto"/>
            <w:vAlign w:val="center"/>
          </w:tcPr>
          <w:p w14:paraId="07B2679C" w14:textId="0E44ABDC"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cs="Arial"/>
                <w:color w:val="auto"/>
                <w:sz w:val="24"/>
                <w:szCs w:val="24"/>
              </w:rPr>
              <w:t>9</w:t>
            </w:r>
          </w:p>
        </w:tc>
        <w:tc>
          <w:tcPr>
            <w:tcW w:w="0" w:type="auto"/>
          </w:tcPr>
          <w:p w14:paraId="623D6DB1" w14:textId="77777777"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DSTPS U#2</w:t>
            </w:r>
          </w:p>
        </w:tc>
        <w:tc>
          <w:tcPr>
            <w:tcW w:w="0" w:type="auto"/>
          </w:tcPr>
          <w:p w14:paraId="69A5FB9A" w14:textId="77777777" w:rsidR="00050F4E" w:rsidRPr="006849EE" w:rsidRDefault="00050F4E" w:rsidP="00050F4E">
            <w:pPr>
              <w:autoSpaceDE w:val="0"/>
              <w:autoSpaceDN w:val="0"/>
              <w:adjustRightInd w:val="0"/>
              <w:spacing w:line="276" w:lineRule="auto"/>
              <w:jc w:val="center"/>
              <w:rPr>
                <w:rFonts w:asciiTheme="majorHAnsi" w:hAnsiTheme="majorHAnsi" w:cs="Arial"/>
                <w:color w:val="auto"/>
                <w:sz w:val="24"/>
                <w:szCs w:val="24"/>
              </w:rPr>
            </w:pPr>
            <w:r w:rsidRPr="006849EE">
              <w:rPr>
                <w:rFonts w:asciiTheme="majorHAnsi" w:hAnsiTheme="majorHAnsi"/>
                <w:sz w:val="24"/>
                <w:szCs w:val="24"/>
              </w:rPr>
              <w:t>27/12/2024</w:t>
            </w:r>
          </w:p>
        </w:tc>
      </w:tr>
    </w:tbl>
    <w:p w14:paraId="65029302" w14:textId="77777777" w:rsidR="00DC37FD" w:rsidRPr="006849EE" w:rsidRDefault="00DC37FD" w:rsidP="00DC37FD">
      <w:pPr>
        <w:spacing w:line="360" w:lineRule="auto"/>
        <w:jc w:val="both"/>
        <w:rPr>
          <w:rFonts w:asciiTheme="majorHAnsi" w:hAnsiTheme="majorHAnsi" w:cs="Arial"/>
          <w:bCs/>
          <w:color w:val="auto"/>
          <w:sz w:val="24"/>
          <w:szCs w:val="24"/>
        </w:rPr>
      </w:pPr>
    </w:p>
    <w:p w14:paraId="473D3B45" w14:textId="54EE9E19" w:rsidR="00DC37FD" w:rsidRPr="006849EE" w:rsidRDefault="00A350E5" w:rsidP="007238F4">
      <w:pPr>
        <w:pStyle w:val="ListParagraph"/>
        <w:spacing w:line="360" w:lineRule="auto"/>
        <w:ind w:left="1440"/>
        <w:jc w:val="both"/>
        <w:rPr>
          <w:rFonts w:asciiTheme="majorHAnsi" w:hAnsiTheme="majorHAnsi" w:cs="Arial"/>
          <w:bCs/>
          <w:color w:val="auto"/>
          <w:sz w:val="24"/>
          <w:szCs w:val="24"/>
        </w:rPr>
      </w:pPr>
      <w:r w:rsidRPr="006849EE">
        <w:rPr>
          <w:rFonts w:asciiTheme="majorHAnsi" w:hAnsiTheme="majorHAnsi" w:cs="Arial"/>
          <w:bCs/>
          <w:color w:val="auto"/>
          <w:sz w:val="24"/>
          <w:szCs w:val="24"/>
        </w:rPr>
        <w:t xml:space="preserve">In addition, DVC anticipates COD of FGDs at MTPS Units 1 to 6 during the control period FY 2026–27 to FY 2030–31. The AFC for these FGDs has been estimated in a justified manner and claimed in the ARR. </w:t>
      </w:r>
      <w:r w:rsidR="005E7B76" w:rsidRPr="006849EE">
        <w:rPr>
          <w:rFonts w:asciiTheme="majorHAnsi" w:hAnsiTheme="majorHAnsi" w:cs="Arial"/>
          <w:bCs/>
          <w:color w:val="auto"/>
          <w:sz w:val="24"/>
          <w:szCs w:val="24"/>
        </w:rPr>
        <w:t xml:space="preserve"> </w:t>
      </w:r>
    </w:p>
    <w:p w14:paraId="0D6A17BD" w14:textId="28856F95" w:rsidR="000F3B7A" w:rsidRPr="006849EE" w:rsidRDefault="00380586" w:rsidP="000F3B7A">
      <w:pPr>
        <w:pStyle w:val="ListParagraph"/>
        <w:spacing w:line="360" w:lineRule="auto"/>
        <w:ind w:left="1440"/>
        <w:jc w:val="both"/>
        <w:rPr>
          <w:rFonts w:asciiTheme="majorHAnsi" w:hAnsiTheme="majorHAnsi" w:cs="Arial"/>
          <w:color w:val="auto"/>
          <w:sz w:val="24"/>
          <w:szCs w:val="24"/>
        </w:rPr>
      </w:pPr>
      <w:r w:rsidRPr="006849EE">
        <w:rPr>
          <w:rFonts w:asciiTheme="majorHAnsi" w:hAnsiTheme="majorHAnsi" w:cs="Arial"/>
          <w:color w:val="auto"/>
          <w:sz w:val="24"/>
          <w:szCs w:val="24"/>
        </w:rPr>
        <w:t>DVC further submits that the present petition is being filed before this Hon’ble Commission based on the input cost as considered in the aforesaid tariff petitions submitted before CERC for the period FY 2024-25 to 2028-29. Tariff orders in respect of the said petitions for FY 2024-29</w:t>
      </w:r>
      <w:r w:rsidR="007B3ACE" w:rsidRPr="006849EE">
        <w:rPr>
          <w:rFonts w:asciiTheme="majorHAnsi" w:hAnsiTheme="majorHAnsi" w:cs="Arial"/>
          <w:color w:val="auto"/>
          <w:sz w:val="24"/>
          <w:szCs w:val="24"/>
        </w:rPr>
        <w:t xml:space="preserve"> </w:t>
      </w:r>
      <w:r w:rsidRPr="006849EE">
        <w:rPr>
          <w:rFonts w:asciiTheme="majorHAnsi" w:hAnsiTheme="majorHAnsi" w:cs="Arial"/>
          <w:color w:val="auto"/>
          <w:sz w:val="24"/>
          <w:szCs w:val="24"/>
        </w:rPr>
        <w:t xml:space="preserve">are yet to be </w:t>
      </w:r>
      <w:r w:rsidRPr="006849EE">
        <w:rPr>
          <w:rFonts w:asciiTheme="majorHAnsi" w:hAnsiTheme="majorHAnsi" w:cs="Arial"/>
          <w:color w:val="auto"/>
          <w:sz w:val="24"/>
          <w:szCs w:val="24"/>
        </w:rPr>
        <w:lastRenderedPageBreak/>
        <w:t>issued by CERC. DVC craves leave to revise the ARR and applicable tariff for the consumers on receipt of the aforesaid tariff orders from CERC. Adjustment of ARR as per final determination of tariff by CERC for the tariff period 2024-29</w:t>
      </w:r>
      <w:r w:rsidR="000F3B7A" w:rsidRPr="006849EE">
        <w:rPr>
          <w:rFonts w:asciiTheme="majorHAnsi" w:hAnsiTheme="majorHAnsi" w:cs="Arial"/>
          <w:color w:val="auto"/>
          <w:sz w:val="24"/>
          <w:szCs w:val="24"/>
        </w:rPr>
        <w:t xml:space="preserve"> </w:t>
      </w:r>
      <w:r w:rsidRPr="006849EE">
        <w:rPr>
          <w:rFonts w:asciiTheme="majorHAnsi" w:hAnsiTheme="majorHAnsi" w:cs="Arial"/>
          <w:color w:val="auto"/>
          <w:sz w:val="24"/>
          <w:szCs w:val="24"/>
        </w:rPr>
        <w:t>will be done by DVC accordingly.</w:t>
      </w:r>
    </w:p>
    <w:p w14:paraId="6A8974CE" w14:textId="4A859A3E" w:rsidR="00FA45DB" w:rsidRPr="006849EE" w:rsidRDefault="00E747D9" w:rsidP="00380586">
      <w:pPr>
        <w:pStyle w:val="ListParagraph"/>
        <w:numPr>
          <w:ilvl w:val="1"/>
          <w:numId w:val="1"/>
        </w:numPr>
        <w:spacing w:line="360" w:lineRule="auto"/>
        <w:jc w:val="both"/>
        <w:rPr>
          <w:rFonts w:asciiTheme="majorHAnsi" w:hAnsiTheme="majorHAnsi" w:cs="Arial"/>
          <w:color w:val="auto"/>
          <w:sz w:val="24"/>
          <w:szCs w:val="24"/>
        </w:rPr>
      </w:pPr>
      <w:r w:rsidRPr="006849EE">
        <w:rPr>
          <w:rFonts w:asciiTheme="majorHAnsi" w:hAnsiTheme="majorHAnsi" w:cs="Arial"/>
          <w:b/>
          <w:bCs/>
          <w:color w:val="auto"/>
          <w:sz w:val="24"/>
          <w:szCs w:val="24"/>
        </w:rPr>
        <w:t>Variable Cost of Own Generation:</w:t>
      </w:r>
      <w:r w:rsidR="00C577D2" w:rsidRPr="006849EE">
        <w:rPr>
          <w:rFonts w:asciiTheme="majorHAnsi" w:hAnsiTheme="majorHAnsi" w:cs="Arial"/>
          <w:b/>
          <w:bCs/>
          <w:color w:val="auto"/>
          <w:sz w:val="24"/>
          <w:szCs w:val="24"/>
        </w:rPr>
        <w:t xml:space="preserve"> </w:t>
      </w:r>
      <w:r w:rsidR="00FA45DB" w:rsidRPr="006849EE">
        <w:rPr>
          <w:rFonts w:asciiTheme="majorHAnsi" w:hAnsiTheme="majorHAnsi" w:cs="Arial"/>
          <w:color w:val="auto"/>
          <w:sz w:val="24"/>
          <w:szCs w:val="24"/>
        </w:rPr>
        <w:t>DVC respectfully submits that the Energy Charge Rate (ECR) for the control period has been assumed to be the same as the actual ECR for FY 2024–25. Estimation of electricity generation from DVC’s thermal stations has been projected based on historical trends, fuel availability, and planned maintenance schedules. Auxiliary consumption for thermal stations has been considered in accordance with CERC (Terms and Conditions of Tariff) Regulations, 2024, which define</w:t>
      </w:r>
      <w:r w:rsidR="00F37EE5" w:rsidRPr="006849EE">
        <w:rPr>
          <w:rFonts w:asciiTheme="majorHAnsi" w:hAnsiTheme="majorHAnsi" w:cs="Arial"/>
          <w:color w:val="auto"/>
          <w:sz w:val="24"/>
          <w:szCs w:val="24"/>
        </w:rPr>
        <w:t>s</w:t>
      </w:r>
      <w:r w:rsidR="00FA45DB" w:rsidRPr="006849EE">
        <w:rPr>
          <w:rFonts w:asciiTheme="majorHAnsi" w:hAnsiTheme="majorHAnsi" w:cs="Arial"/>
          <w:color w:val="auto"/>
          <w:sz w:val="24"/>
          <w:szCs w:val="24"/>
        </w:rPr>
        <w:t xml:space="preserve"> AUX </w:t>
      </w:r>
      <w:r w:rsidR="00F37EE5" w:rsidRPr="006849EE">
        <w:rPr>
          <w:rFonts w:asciiTheme="majorHAnsi" w:hAnsiTheme="majorHAnsi" w:cs="Arial"/>
          <w:color w:val="auto"/>
          <w:sz w:val="24"/>
          <w:szCs w:val="24"/>
        </w:rPr>
        <w:t xml:space="preserve">(normative auxiliary consumption for generating stations) </w:t>
      </w:r>
      <w:r w:rsidR="00FA45DB" w:rsidRPr="006849EE">
        <w:rPr>
          <w:rFonts w:asciiTheme="majorHAnsi" w:hAnsiTheme="majorHAnsi" w:cs="Arial"/>
          <w:color w:val="auto"/>
          <w:sz w:val="24"/>
          <w:szCs w:val="24"/>
        </w:rPr>
        <w:t xml:space="preserve">and </w:t>
      </w:r>
      <w:proofErr w:type="spellStart"/>
      <w:r w:rsidR="00FA45DB" w:rsidRPr="006849EE">
        <w:rPr>
          <w:rFonts w:asciiTheme="majorHAnsi" w:hAnsiTheme="majorHAnsi" w:cs="Arial"/>
          <w:color w:val="auto"/>
          <w:sz w:val="24"/>
          <w:szCs w:val="24"/>
        </w:rPr>
        <w:t>AUXe</w:t>
      </w:r>
      <w:proofErr w:type="spellEnd"/>
      <w:r w:rsidR="00FA45DB" w:rsidRPr="006849EE">
        <w:rPr>
          <w:rFonts w:asciiTheme="majorHAnsi" w:hAnsiTheme="majorHAnsi" w:cs="Arial"/>
          <w:color w:val="auto"/>
          <w:sz w:val="24"/>
          <w:szCs w:val="24"/>
        </w:rPr>
        <w:t xml:space="preserve"> (separate auxiliary consumption for Emission Control Systems/FGDs). Similarly, generation from hydel stations has been projected based on historical trends and maintenance schedules, with auxiliary consumption consistent with prior practice. </w:t>
      </w:r>
    </w:p>
    <w:p w14:paraId="17F4717C" w14:textId="3C25A805" w:rsidR="00622727" w:rsidRPr="006849EE" w:rsidRDefault="007F4535" w:rsidP="00622727">
      <w:pPr>
        <w:pStyle w:val="ListParagraph"/>
        <w:numPr>
          <w:ilvl w:val="1"/>
          <w:numId w:val="1"/>
        </w:numPr>
        <w:spacing w:line="360" w:lineRule="auto"/>
        <w:jc w:val="both"/>
        <w:rPr>
          <w:rFonts w:asciiTheme="majorHAnsi" w:hAnsiTheme="majorHAnsi" w:cs="Arial"/>
          <w:color w:val="auto"/>
          <w:sz w:val="24"/>
          <w:szCs w:val="24"/>
        </w:rPr>
      </w:pPr>
      <w:r w:rsidRPr="006849EE">
        <w:rPr>
          <w:rFonts w:asciiTheme="majorHAnsi" w:hAnsiTheme="majorHAnsi" w:cs="Arial"/>
          <w:b/>
          <w:bCs/>
          <w:color w:val="auto"/>
          <w:sz w:val="24"/>
          <w:szCs w:val="24"/>
        </w:rPr>
        <w:t xml:space="preserve">Cost of Renewable </w:t>
      </w:r>
      <w:r w:rsidR="00184CED" w:rsidRPr="006849EE">
        <w:rPr>
          <w:rFonts w:asciiTheme="majorHAnsi" w:hAnsiTheme="majorHAnsi" w:cs="Arial"/>
          <w:b/>
          <w:bCs/>
          <w:color w:val="auto"/>
          <w:sz w:val="24"/>
          <w:szCs w:val="24"/>
        </w:rPr>
        <w:t xml:space="preserve">Power </w:t>
      </w:r>
      <w:r w:rsidRPr="006849EE">
        <w:rPr>
          <w:rFonts w:asciiTheme="majorHAnsi" w:hAnsiTheme="majorHAnsi" w:cs="Arial"/>
          <w:b/>
          <w:bCs/>
          <w:color w:val="auto"/>
          <w:sz w:val="24"/>
          <w:szCs w:val="24"/>
        </w:rPr>
        <w:t>Generati</w:t>
      </w:r>
      <w:r w:rsidR="00184CED" w:rsidRPr="006849EE">
        <w:rPr>
          <w:rFonts w:asciiTheme="majorHAnsi" w:hAnsiTheme="majorHAnsi" w:cs="Arial"/>
          <w:b/>
          <w:bCs/>
          <w:color w:val="auto"/>
          <w:sz w:val="24"/>
          <w:szCs w:val="24"/>
        </w:rPr>
        <w:t>ng</w:t>
      </w:r>
      <w:r w:rsidRPr="006849EE">
        <w:rPr>
          <w:rFonts w:asciiTheme="majorHAnsi" w:hAnsiTheme="majorHAnsi" w:cs="Arial"/>
          <w:b/>
          <w:bCs/>
          <w:color w:val="auto"/>
          <w:sz w:val="24"/>
          <w:szCs w:val="24"/>
        </w:rPr>
        <w:t xml:space="preserve"> Plants:</w:t>
      </w:r>
      <w:r w:rsidR="00DF6490" w:rsidRPr="006849EE">
        <w:rPr>
          <w:rFonts w:asciiTheme="majorHAnsi" w:hAnsiTheme="majorHAnsi" w:cs="Arial"/>
          <w:b/>
          <w:bCs/>
          <w:color w:val="auto"/>
          <w:sz w:val="24"/>
          <w:szCs w:val="24"/>
        </w:rPr>
        <w:t xml:space="preserve"> </w:t>
      </w:r>
      <w:r w:rsidR="00622727" w:rsidRPr="006849EE">
        <w:rPr>
          <w:rFonts w:asciiTheme="majorHAnsi" w:hAnsiTheme="majorHAnsi" w:cs="Arial"/>
          <w:color w:val="auto"/>
          <w:sz w:val="24"/>
          <w:szCs w:val="24"/>
        </w:rPr>
        <w:t xml:space="preserve">DVC respectfully submits that, with regard to the generation cost of solar power plants, the Hon’ble CERC has approved a levelized tariff of ₹4.20/kWh for the 10 MW Ground Mounted Solar PV Plant at KTPS, </w:t>
      </w:r>
      <w:proofErr w:type="spellStart"/>
      <w:r w:rsidR="00622727" w:rsidRPr="006849EE">
        <w:rPr>
          <w:rFonts w:asciiTheme="majorHAnsi" w:hAnsiTheme="majorHAnsi" w:cs="Arial"/>
          <w:color w:val="auto"/>
          <w:sz w:val="24"/>
          <w:szCs w:val="24"/>
        </w:rPr>
        <w:t>Koderma</w:t>
      </w:r>
      <w:proofErr w:type="spellEnd"/>
      <w:r w:rsidR="00622727" w:rsidRPr="006849EE">
        <w:rPr>
          <w:rFonts w:asciiTheme="majorHAnsi" w:hAnsiTheme="majorHAnsi" w:cs="Arial"/>
          <w:color w:val="auto"/>
          <w:sz w:val="24"/>
          <w:szCs w:val="24"/>
        </w:rPr>
        <w:t xml:space="preserve"> in its tariff order dated 23.03.2025, and ₹3.62/kWh for the 8 MW Ground Mounted Solar PV Plant at </w:t>
      </w:r>
      <w:proofErr w:type="spellStart"/>
      <w:r w:rsidR="00622727" w:rsidRPr="006849EE">
        <w:rPr>
          <w:rFonts w:asciiTheme="majorHAnsi" w:hAnsiTheme="majorHAnsi" w:cs="Arial"/>
          <w:color w:val="auto"/>
          <w:sz w:val="24"/>
          <w:szCs w:val="24"/>
        </w:rPr>
        <w:t>Panchet</w:t>
      </w:r>
      <w:proofErr w:type="spellEnd"/>
      <w:r w:rsidR="00622727" w:rsidRPr="006849EE">
        <w:rPr>
          <w:rFonts w:asciiTheme="majorHAnsi" w:hAnsiTheme="majorHAnsi" w:cs="Arial"/>
          <w:color w:val="auto"/>
          <w:sz w:val="24"/>
          <w:szCs w:val="24"/>
        </w:rPr>
        <w:t xml:space="preserve"> in its interim order dated 20.03.2025.</w:t>
      </w:r>
      <w:r w:rsidR="00184CED" w:rsidRPr="006849EE">
        <w:rPr>
          <w:rFonts w:asciiTheme="majorHAnsi" w:hAnsiTheme="majorHAnsi" w:cs="Arial"/>
          <w:color w:val="auto"/>
          <w:sz w:val="24"/>
          <w:szCs w:val="24"/>
        </w:rPr>
        <w:t xml:space="preserve"> The relevant portions of these approved tariffs </w:t>
      </w:r>
      <w:proofErr w:type="gramStart"/>
      <w:r w:rsidR="00184CED" w:rsidRPr="006849EE">
        <w:rPr>
          <w:rFonts w:asciiTheme="majorHAnsi" w:hAnsiTheme="majorHAnsi" w:cs="Arial"/>
          <w:color w:val="auto"/>
          <w:sz w:val="24"/>
          <w:szCs w:val="24"/>
        </w:rPr>
        <w:t>has</w:t>
      </w:r>
      <w:proofErr w:type="gramEnd"/>
      <w:r w:rsidR="00184CED" w:rsidRPr="006849EE">
        <w:rPr>
          <w:rFonts w:asciiTheme="majorHAnsi" w:hAnsiTheme="majorHAnsi" w:cs="Arial"/>
          <w:color w:val="auto"/>
          <w:sz w:val="24"/>
          <w:szCs w:val="24"/>
        </w:rPr>
        <w:t xml:space="preserve"> been annexed as </w:t>
      </w:r>
      <w:r w:rsidR="00184CED" w:rsidRPr="006849EE">
        <w:rPr>
          <w:rFonts w:asciiTheme="majorHAnsi" w:hAnsiTheme="majorHAnsi" w:cs="Arial"/>
          <w:b/>
          <w:bCs/>
          <w:color w:val="auto"/>
          <w:sz w:val="24"/>
          <w:szCs w:val="24"/>
        </w:rPr>
        <w:t>A</w:t>
      </w:r>
      <w:r w:rsidR="003E7D5B" w:rsidRPr="006849EE">
        <w:rPr>
          <w:rFonts w:asciiTheme="majorHAnsi" w:hAnsiTheme="majorHAnsi" w:cs="Arial"/>
          <w:b/>
          <w:bCs/>
          <w:color w:val="auto"/>
          <w:sz w:val="24"/>
          <w:szCs w:val="24"/>
        </w:rPr>
        <w:t>NEXXURE-5</w:t>
      </w:r>
      <w:r w:rsidR="00184CED" w:rsidRPr="006849EE">
        <w:rPr>
          <w:rFonts w:asciiTheme="majorHAnsi" w:hAnsiTheme="majorHAnsi" w:cs="Arial"/>
          <w:b/>
          <w:bCs/>
          <w:color w:val="auto"/>
          <w:sz w:val="24"/>
          <w:szCs w:val="24"/>
        </w:rPr>
        <w:t>.</w:t>
      </w:r>
      <w:r w:rsidR="00622727" w:rsidRPr="006849EE">
        <w:rPr>
          <w:rFonts w:asciiTheme="majorHAnsi" w:hAnsiTheme="majorHAnsi" w:cs="Arial"/>
          <w:color w:val="auto"/>
          <w:sz w:val="24"/>
          <w:szCs w:val="24"/>
        </w:rPr>
        <w:t xml:space="preserve"> Accordingly, in the instant petition, DVC has considered these approved tariffs as the cost of power for the respective plants.</w:t>
      </w:r>
    </w:p>
    <w:p w14:paraId="304E40FB" w14:textId="7D4E3491" w:rsidR="00BD5720" w:rsidRPr="006849EE" w:rsidRDefault="00622727" w:rsidP="00622727">
      <w:pPr>
        <w:pStyle w:val="ListParagraph"/>
        <w:spacing w:line="360" w:lineRule="auto"/>
        <w:ind w:left="1440"/>
        <w:jc w:val="both"/>
        <w:rPr>
          <w:rFonts w:asciiTheme="majorHAnsi" w:hAnsiTheme="majorHAnsi" w:cs="Arial"/>
          <w:color w:val="auto"/>
          <w:sz w:val="24"/>
          <w:szCs w:val="24"/>
        </w:rPr>
      </w:pPr>
      <w:r w:rsidRPr="006849EE">
        <w:rPr>
          <w:rFonts w:asciiTheme="majorHAnsi" w:hAnsiTheme="majorHAnsi" w:cs="Arial"/>
          <w:color w:val="auto"/>
          <w:sz w:val="24"/>
          <w:szCs w:val="24"/>
        </w:rPr>
        <w:t>Further, based on anticipated CODs during the control period, DVC expects commissioning of the following renewable plants:</w:t>
      </w:r>
      <w:r w:rsidR="00681C6B" w:rsidRPr="006849EE">
        <w:rPr>
          <w:rFonts w:asciiTheme="majorHAnsi" w:hAnsiTheme="majorHAnsi" w:cs="Arial"/>
          <w:color w:val="auto"/>
          <w:sz w:val="24"/>
          <w:szCs w:val="24"/>
        </w:rPr>
        <w:t xml:space="preserve"> </w:t>
      </w:r>
      <w:r w:rsidR="00AB0636" w:rsidRPr="006849EE">
        <w:rPr>
          <w:rFonts w:asciiTheme="majorHAnsi" w:hAnsiTheme="majorHAnsi" w:cs="Arial"/>
          <w:color w:val="auto"/>
          <w:sz w:val="24"/>
          <w:szCs w:val="24"/>
        </w:rPr>
        <w:t xml:space="preserve">6 MW </w:t>
      </w:r>
      <w:r w:rsidR="00BA532D" w:rsidRPr="006849EE">
        <w:rPr>
          <w:rFonts w:asciiTheme="majorHAnsi" w:hAnsiTheme="majorHAnsi" w:cs="Arial"/>
          <w:color w:val="auto"/>
          <w:sz w:val="24"/>
          <w:szCs w:val="24"/>
        </w:rPr>
        <w:t>Floating PV at KTPS</w:t>
      </w:r>
      <w:r w:rsidR="0094441B" w:rsidRPr="006849EE">
        <w:rPr>
          <w:rFonts w:asciiTheme="majorHAnsi" w:hAnsiTheme="majorHAnsi" w:cs="Arial"/>
          <w:color w:val="auto"/>
          <w:sz w:val="24"/>
          <w:szCs w:val="24"/>
        </w:rPr>
        <w:t>;</w:t>
      </w:r>
      <w:r w:rsidR="00903662" w:rsidRPr="006849EE">
        <w:rPr>
          <w:rFonts w:asciiTheme="majorHAnsi" w:hAnsiTheme="majorHAnsi" w:cs="Arial"/>
          <w:color w:val="auto"/>
          <w:sz w:val="24"/>
          <w:szCs w:val="24"/>
        </w:rPr>
        <w:t xml:space="preserve"> </w:t>
      </w:r>
      <w:r w:rsidR="00AB0636" w:rsidRPr="006849EE">
        <w:rPr>
          <w:rFonts w:asciiTheme="majorHAnsi" w:hAnsiTheme="majorHAnsi" w:cs="Arial"/>
          <w:color w:val="auto"/>
          <w:sz w:val="24"/>
          <w:szCs w:val="24"/>
        </w:rPr>
        <w:t xml:space="preserve">10 MW </w:t>
      </w:r>
      <w:r w:rsidR="0094441B" w:rsidRPr="006849EE">
        <w:rPr>
          <w:rFonts w:asciiTheme="majorHAnsi" w:hAnsiTheme="majorHAnsi" w:cs="Arial"/>
          <w:color w:val="auto"/>
          <w:sz w:val="24"/>
          <w:szCs w:val="24"/>
        </w:rPr>
        <w:t>Floating Solar PV at RTPS;</w:t>
      </w:r>
      <w:r w:rsidR="00086406" w:rsidRPr="006849EE">
        <w:rPr>
          <w:rFonts w:asciiTheme="majorHAnsi" w:hAnsiTheme="majorHAnsi" w:cs="Arial"/>
          <w:color w:val="auto"/>
          <w:sz w:val="24"/>
          <w:szCs w:val="24"/>
        </w:rPr>
        <w:t xml:space="preserve"> 14 MW Floating </w:t>
      </w:r>
      <w:proofErr w:type="spellStart"/>
      <w:r w:rsidR="00086406" w:rsidRPr="006849EE">
        <w:rPr>
          <w:rFonts w:asciiTheme="majorHAnsi" w:hAnsiTheme="majorHAnsi" w:cs="Arial"/>
          <w:color w:val="auto"/>
          <w:sz w:val="24"/>
          <w:szCs w:val="24"/>
        </w:rPr>
        <w:t>Sloar</w:t>
      </w:r>
      <w:proofErr w:type="spellEnd"/>
      <w:r w:rsidR="00086406" w:rsidRPr="006849EE">
        <w:rPr>
          <w:rFonts w:asciiTheme="majorHAnsi" w:hAnsiTheme="majorHAnsi" w:cs="Arial"/>
          <w:color w:val="auto"/>
          <w:sz w:val="24"/>
          <w:szCs w:val="24"/>
        </w:rPr>
        <w:t xml:space="preserve"> PV at MTPS</w:t>
      </w:r>
      <w:r w:rsidR="00AF6FFD" w:rsidRPr="006849EE">
        <w:rPr>
          <w:rFonts w:asciiTheme="majorHAnsi" w:hAnsiTheme="majorHAnsi" w:cs="Arial"/>
          <w:color w:val="auto"/>
          <w:sz w:val="24"/>
          <w:szCs w:val="24"/>
        </w:rPr>
        <w:t>; 8 MW</w:t>
      </w:r>
      <w:r w:rsidR="0094441B" w:rsidRPr="006849EE">
        <w:rPr>
          <w:rFonts w:asciiTheme="majorHAnsi" w:hAnsiTheme="majorHAnsi" w:cs="Arial"/>
          <w:color w:val="auto"/>
          <w:sz w:val="24"/>
          <w:szCs w:val="24"/>
        </w:rPr>
        <w:t xml:space="preserve"> </w:t>
      </w:r>
      <w:r w:rsidR="00BA532D" w:rsidRPr="006849EE">
        <w:rPr>
          <w:rFonts w:asciiTheme="majorHAnsi" w:hAnsiTheme="majorHAnsi" w:cs="Arial"/>
          <w:color w:val="auto"/>
          <w:sz w:val="24"/>
          <w:szCs w:val="24"/>
        </w:rPr>
        <w:t xml:space="preserve">Konar (Ground Mounted); </w:t>
      </w:r>
      <w:r w:rsidR="00AF6FFD" w:rsidRPr="006849EE">
        <w:rPr>
          <w:rFonts w:asciiTheme="majorHAnsi" w:hAnsiTheme="majorHAnsi" w:cs="Arial"/>
          <w:color w:val="auto"/>
          <w:sz w:val="24"/>
          <w:szCs w:val="24"/>
        </w:rPr>
        <w:t xml:space="preserve">10 MW </w:t>
      </w:r>
      <w:r w:rsidR="00BA532D" w:rsidRPr="006849EE">
        <w:rPr>
          <w:rFonts w:asciiTheme="majorHAnsi" w:hAnsiTheme="majorHAnsi" w:cs="Arial"/>
          <w:color w:val="auto"/>
          <w:sz w:val="24"/>
          <w:szCs w:val="24"/>
        </w:rPr>
        <w:t xml:space="preserve">Floating Solar PV at CTPS; </w:t>
      </w:r>
      <w:r w:rsidR="009929CB" w:rsidRPr="006849EE">
        <w:rPr>
          <w:rFonts w:asciiTheme="majorHAnsi" w:hAnsiTheme="majorHAnsi" w:cs="Arial"/>
          <w:color w:val="auto"/>
          <w:sz w:val="24"/>
          <w:szCs w:val="24"/>
        </w:rPr>
        <w:t xml:space="preserve">234 MW </w:t>
      </w:r>
      <w:r w:rsidR="00BA532D" w:rsidRPr="006849EE">
        <w:rPr>
          <w:rFonts w:asciiTheme="majorHAnsi" w:hAnsiTheme="majorHAnsi" w:cs="Arial"/>
          <w:color w:val="auto"/>
          <w:sz w:val="24"/>
          <w:szCs w:val="24"/>
        </w:rPr>
        <w:t xml:space="preserve">Floating Solar PV at </w:t>
      </w:r>
      <w:proofErr w:type="spellStart"/>
      <w:r w:rsidR="00BA532D" w:rsidRPr="006849EE">
        <w:rPr>
          <w:rFonts w:asciiTheme="majorHAnsi" w:hAnsiTheme="majorHAnsi" w:cs="Arial"/>
          <w:color w:val="auto"/>
          <w:sz w:val="24"/>
          <w:szCs w:val="24"/>
        </w:rPr>
        <w:t>Maithon</w:t>
      </w:r>
      <w:proofErr w:type="spellEnd"/>
      <w:r w:rsidR="00BA532D" w:rsidRPr="006849EE">
        <w:rPr>
          <w:rFonts w:asciiTheme="majorHAnsi" w:hAnsiTheme="majorHAnsi" w:cs="Arial"/>
          <w:color w:val="auto"/>
          <w:sz w:val="24"/>
          <w:szCs w:val="24"/>
        </w:rPr>
        <w:t xml:space="preserve"> Dam; and</w:t>
      </w:r>
      <w:r w:rsidR="00DB3A04" w:rsidRPr="006849EE">
        <w:rPr>
          <w:rFonts w:asciiTheme="majorHAnsi" w:hAnsiTheme="majorHAnsi" w:cs="Arial"/>
          <w:color w:val="auto"/>
          <w:sz w:val="24"/>
          <w:szCs w:val="24"/>
        </w:rPr>
        <w:t xml:space="preserve"> 228 </w:t>
      </w:r>
      <w:r w:rsidR="009929CB" w:rsidRPr="006849EE">
        <w:rPr>
          <w:rFonts w:asciiTheme="majorHAnsi" w:hAnsiTheme="majorHAnsi" w:cs="Arial"/>
          <w:color w:val="auto"/>
          <w:sz w:val="24"/>
          <w:szCs w:val="24"/>
        </w:rPr>
        <w:t>MW</w:t>
      </w:r>
      <w:r w:rsidR="00BA532D" w:rsidRPr="006849EE">
        <w:rPr>
          <w:rFonts w:asciiTheme="majorHAnsi" w:hAnsiTheme="majorHAnsi" w:cs="Arial"/>
          <w:color w:val="auto"/>
          <w:sz w:val="24"/>
          <w:szCs w:val="24"/>
        </w:rPr>
        <w:t xml:space="preserve"> Floating Solar PV at Konar Dam</w:t>
      </w:r>
      <w:r w:rsidR="009929CB" w:rsidRPr="006849EE">
        <w:rPr>
          <w:rFonts w:asciiTheme="majorHAnsi" w:hAnsiTheme="majorHAnsi" w:cs="Arial"/>
          <w:b/>
          <w:bCs/>
          <w:color w:val="auto"/>
          <w:sz w:val="24"/>
          <w:szCs w:val="24"/>
        </w:rPr>
        <w:t xml:space="preserve">. </w:t>
      </w:r>
      <w:r w:rsidR="00681C6B" w:rsidRPr="006849EE">
        <w:rPr>
          <w:rFonts w:asciiTheme="majorHAnsi" w:hAnsiTheme="majorHAnsi" w:cs="Arial"/>
          <w:color w:val="auto"/>
          <w:sz w:val="24"/>
          <w:szCs w:val="24"/>
        </w:rPr>
        <w:t xml:space="preserve">For these proposed plants, the </w:t>
      </w:r>
      <w:r w:rsidR="00A30010" w:rsidRPr="006849EE">
        <w:rPr>
          <w:rFonts w:asciiTheme="majorHAnsi" w:hAnsiTheme="majorHAnsi" w:cs="Arial"/>
          <w:color w:val="auto"/>
          <w:sz w:val="24"/>
          <w:szCs w:val="24"/>
        </w:rPr>
        <w:t>provisional</w:t>
      </w:r>
      <w:r w:rsidR="00681C6B" w:rsidRPr="006849EE">
        <w:rPr>
          <w:rFonts w:asciiTheme="majorHAnsi" w:hAnsiTheme="majorHAnsi" w:cs="Arial"/>
          <w:color w:val="auto"/>
          <w:sz w:val="24"/>
          <w:szCs w:val="24"/>
        </w:rPr>
        <w:t xml:space="preserve"> tariffs have been projected using appropriate assumptions. However, DVC respectfully submits that the </w:t>
      </w:r>
      <w:r w:rsidR="00681C6B" w:rsidRPr="006849EE">
        <w:rPr>
          <w:rFonts w:asciiTheme="majorHAnsi" w:hAnsiTheme="majorHAnsi" w:cs="Arial"/>
          <w:color w:val="auto"/>
          <w:sz w:val="24"/>
          <w:szCs w:val="24"/>
        </w:rPr>
        <w:lastRenderedPageBreak/>
        <w:t>tariffs indicated herein for the relevant period shall remain subject to adjustment based on tariff orders issued by the Hon’ble Commission.</w:t>
      </w:r>
    </w:p>
    <w:p w14:paraId="03616285" w14:textId="3C4390DE" w:rsidR="001518FC" w:rsidRPr="006849EE" w:rsidRDefault="001518FC" w:rsidP="00622727">
      <w:pPr>
        <w:pStyle w:val="ListParagraph"/>
        <w:spacing w:line="360" w:lineRule="auto"/>
        <w:ind w:left="144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The total generation from the </w:t>
      </w:r>
      <w:proofErr w:type="gramStart"/>
      <w:r w:rsidRPr="006849EE">
        <w:rPr>
          <w:rFonts w:asciiTheme="majorHAnsi" w:hAnsiTheme="majorHAnsi" w:cs="Arial"/>
          <w:color w:val="auto"/>
          <w:sz w:val="24"/>
          <w:szCs w:val="24"/>
        </w:rPr>
        <w:t>above mentioned</w:t>
      </w:r>
      <w:proofErr w:type="gramEnd"/>
      <w:r w:rsidRPr="006849EE">
        <w:rPr>
          <w:rFonts w:asciiTheme="majorHAnsi" w:hAnsiTheme="majorHAnsi" w:cs="Arial"/>
          <w:color w:val="auto"/>
          <w:sz w:val="24"/>
          <w:szCs w:val="24"/>
        </w:rPr>
        <w:t xml:space="preserve"> solar PV plants during FY 2026-27 to FY 2030-31 period has been projected considering 22.5% capacity utilization factor (CUF) for floating &amp; ground mounted solar power plant. </w:t>
      </w:r>
    </w:p>
    <w:p w14:paraId="7861764E" w14:textId="62FF5221" w:rsidR="005D50F2" w:rsidRPr="006849EE" w:rsidRDefault="00595A67" w:rsidP="00B24E96">
      <w:pPr>
        <w:numPr>
          <w:ilvl w:val="0"/>
          <w:numId w:val="1"/>
        </w:numPr>
        <w:tabs>
          <w:tab w:val="clear" w:pos="1080"/>
          <w:tab w:val="num" w:pos="735"/>
        </w:tabs>
        <w:spacing w:line="360" w:lineRule="auto"/>
        <w:ind w:left="734" w:hanging="734"/>
        <w:jc w:val="both"/>
        <w:rPr>
          <w:rFonts w:asciiTheme="majorHAnsi" w:hAnsiTheme="majorHAnsi" w:cs="Arial"/>
          <w:b/>
          <w:bCs/>
          <w:color w:val="auto"/>
          <w:sz w:val="24"/>
          <w:szCs w:val="24"/>
        </w:rPr>
      </w:pPr>
      <w:r w:rsidRPr="006849EE">
        <w:rPr>
          <w:rFonts w:asciiTheme="majorHAnsi" w:hAnsiTheme="majorHAnsi" w:cs="Arial"/>
          <w:color w:val="auto"/>
          <w:sz w:val="24"/>
          <w:szCs w:val="24"/>
        </w:rPr>
        <w:t>Source-wise cost of own generat</w:t>
      </w:r>
      <w:r w:rsidR="00E9177A" w:rsidRPr="006849EE">
        <w:rPr>
          <w:rFonts w:asciiTheme="majorHAnsi" w:hAnsiTheme="majorHAnsi" w:cs="Arial"/>
          <w:color w:val="auto"/>
          <w:sz w:val="24"/>
          <w:szCs w:val="24"/>
        </w:rPr>
        <w:t>ing</w:t>
      </w:r>
      <w:r w:rsidRPr="006849EE">
        <w:rPr>
          <w:rFonts w:asciiTheme="majorHAnsi" w:hAnsiTheme="majorHAnsi" w:cs="Arial"/>
          <w:color w:val="auto"/>
          <w:sz w:val="24"/>
          <w:szCs w:val="24"/>
        </w:rPr>
        <w:t xml:space="preserve"> plants of DVC as considered on projection basis for finalizing ARR </w:t>
      </w:r>
      <w:r w:rsidR="00365644" w:rsidRPr="006849EE">
        <w:rPr>
          <w:rFonts w:asciiTheme="majorHAnsi" w:hAnsiTheme="majorHAnsi" w:cs="Arial"/>
          <w:color w:val="auto"/>
          <w:sz w:val="24"/>
          <w:szCs w:val="24"/>
        </w:rPr>
        <w:t xml:space="preserve">for the control period FY 2026-27 to FY 2030-31 </w:t>
      </w:r>
      <w:r w:rsidRPr="006849EE">
        <w:rPr>
          <w:rFonts w:asciiTheme="majorHAnsi" w:hAnsiTheme="majorHAnsi" w:cs="Arial"/>
          <w:color w:val="auto"/>
          <w:sz w:val="24"/>
          <w:szCs w:val="24"/>
        </w:rPr>
        <w:t>&amp; Tariff of FY 202</w:t>
      </w:r>
      <w:r w:rsidR="00462AD6" w:rsidRPr="006849EE">
        <w:rPr>
          <w:rFonts w:asciiTheme="majorHAnsi" w:hAnsiTheme="majorHAnsi" w:cs="Arial"/>
          <w:color w:val="auto"/>
          <w:sz w:val="24"/>
          <w:szCs w:val="24"/>
        </w:rPr>
        <w:t>6</w:t>
      </w:r>
      <w:r w:rsidRPr="006849EE">
        <w:rPr>
          <w:rFonts w:asciiTheme="majorHAnsi" w:hAnsiTheme="majorHAnsi" w:cs="Arial"/>
          <w:color w:val="auto"/>
          <w:sz w:val="24"/>
          <w:szCs w:val="24"/>
        </w:rPr>
        <w:t>-2</w:t>
      </w:r>
      <w:r w:rsidR="00365644" w:rsidRPr="006849EE">
        <w:rPr>
          <w:rFonts w:asciiTheme="majorHAnsi" w:hAnsiTheme="majorHAnsi" w:cs="Arial"/>
          <w:color w:val="auto"/>
          <w:sz w:val="24"/>
          <w:szCs w:val="24"/>
        </w:rPr>
        <w:t>7</w:t>
      </w:r>
      <w:r w:rsidRPr="006849EE">
        <w:rPr>
          <w:rFonts w:asciiTheme="majorHAnsi" w:hAnsiTheme="majorHAnsi" w:cs="Arial"/>
          <w:color w:val="auto"/>
          <w:sz w:val="24"/>
          <w:szCs w:val="24"/>
        </w:rPr>
        <w:t xml:space="preserve"> are furnished herewith in ARR computation sheets</w:t>
      </w:r>
      <w:r w:rsidR="00006BB4" w:rsidRPr="006849EE">
        <w:rPr>
          <w:rFonts w:asciiTheme="majorHAnsi" w:hAnsiTheme="majorHAnsi" w:cs="Arial"/>
          <w:color w:val="auto"/>
          <w:sz w:val="24"/>
          <w:szCs w:val="24"/>
        </w:rPr>
        <w:t xml:space="preserve"> annexed as </w:t>
      </w:r>
      <w:r w:rsidR="00006BB4" w:rsidRPr="006849EE">
        <w:rPr>
          <w:rFonts w:asciiTheme="majorHAnsi" w:hAnsiTheme="majorHAnsi" w:cs="Arial"/>
          <w:b/>
          <w:bCs/>
          <w:color w:val="auto"/>
          <w:sz w:val="24"/>
          <w:szCs w:val="24"/>
        </w:rPr>
        <w:t>A</w:t>
      </w:r>
      <w:r w:rsidR="00B47BFD" w:rsidRPr="006849EE">
        <w:rPr>
          <w:rFonts w:asciiTheme="majorHAnsi" w:hAnsiTheme="majorHAnsi" w:cs="Arial"/>
          <w:b/>
          <w:bCs/>
          <w:color w:val="auto"/>
          <w:sz w:val="24"/>
          <w:szCs w:val="24"/>
        </w:rPr>
        <w:t>NNEXURE-</w:t>
      </w:r>
      <w:r w:rsidR="00B67774" w:rsidRPr="006849EE">
        <w:rPr>
          <w:rFonts w:asciiTheme="majorHAnsi" w:hAnsiTheme="majorHAnsi" w:cs="Arial"/>
          <w:b/>
          <w:bCs/>
          <w:color w:val="auto"/>
          <w:sz w:val="24"/>
          <w:szCs w:val="24"/>
        </w:rPr>
        <w:t>6</w:t>
      </w:r>
      <w:r w:rsidRPr="006849EE">
        <w:rPr>
          <w:rFonts w:asciiTheme="majorHAnsi" w:hAnsiTheme="majorHAnsi" w:cs="Arial"/>
          <w:b/>
          <w:bCs/>
          <w:color w:val="auto"/>
          <w:sz w:val="24"/>
          <w:szCs w:val="24"/>
        </w:rPr>
        <w:t>.</w:t>
      </w:r>
    </w:p>
    <w:p w14:paraId="4470AAE6" w14:textId="643AC917" w:rsidR="00D41713" w:rsidRPr="006849EE" w:rsidRDefault="00D41713" w:rsidP="00D41713">
      <w:pPr>
        <w:numPr>
          <w:ilvl w:val="0"/>
          <w:numId w:val="1"/>
        </w:numPr>
        <w:tabs>
          <w:tab w:val="clear" w:pos="1080"/>
          <w:tab w:val="num" w:pos="735"/>
        </w:tabs>
        <w:spacing w:line="360" w:lineRule="auto"/>
        <w:ind w:left="734" w:hanging="734"/>
        <w:jc w:val="both"/>
        <w:rPr>
          <w:rFonts w:asciiTheme="majorHAnsi" w:hAnsiTheme="majorHAnsi" w:cs="Arial"/>
          <w:color w:val="auto"/>
          <w:sz w:val="24"/>
          <w:szCs w:val="24"/>
        </w:rPr>
      </w:pPr>
      <w:r w:rsidRPr="006849EE">
        <w:rPr>
          <w:rFonts w:asciiTheme="majorHAnsi" w:hAnsiTheme="majorHAnsi" w:cs="Arial"/>
          <w:color w:val="auto"/>
          <w:sz w:val="24"/>
          <w:szCs w:val="24"/>
        </w:rPr>
        <w:t>The composite T&amp;D loss level is proposed to be adjusted in the Damodar Valley command area forming part of the state of Jharkhand and West Bengal by this Hon’ble Commission.  DVC submits that this Hon’ble Commission may kindly consider the losses proposed to be incurred by DVC at the transmission and distribution level in the retail supply of electricity and account for the same in a unified and equitable manner applicable</w:t>
      </w:r>
      <w:r w:rsidR="00D43F9A" w:rsidRPr="006849EE">
        <w:rPr>
          <w:rFonts w:asciiTheme="majorHAnsi" w:hAnsiTheme="majorHAnsi" w:cs="Arial"/>
          <w:color w:val="auto"/>
          <w:sz w:val="24"/>
          <w:szCs w:val="24"/>
        </w:rPr>
        <w:t xml:space="preserve"> in</w:t>
      </w:r>
      <w:r w:rsidRPr="006849EE">
        <w:rPr>
          <w:rFonts w:asciiTheme="majorHAnsi" w:hAnsiTheme="majorHAnsi" w:cs="Arial"/>
          <w:color w:val="auto"/>
          <w:sz w:val="24"/>
          <w:szCs w:val="24"/>
        </w:rPr>
        <w:t xml:space="preserve"> both the states of Jharkhand and West Bengal. DVC humbly submits that the projected T&amp;D loss has increased compared to that estimated for FY 2025-26, and there is an increasing trend of T&amp;D loss from FY 2026-27 to FY 2030-31. Such increase is attributable to a projected increase in the share of lower voltage sales (LT and11 kV) during the control period compared to </w:t>
      </w:r>
      <w:proofErr w:type="gramStart"/>
      <w:r w:rsidRPr="006849EE">
        <w:rPr>
          <w:rFonts w:asciiTheme="majorHAnsi" w:hAnsiTheme="majorHAnsi" w:cs="Arial"/>
          <w:color w:val="auto"/>
          <w:sz w:val="24"/>
          <w:szCs w:val="24"/>
        </w:rPr>
        <w:t>sale</w:t>
      </w:r>
      <w:proofErr w:type="gramEnd"/>
      <w:r w:rsidRPr="006849EE">
        <w:rPr>
          <w:rFonts w:asciiTheme="majorHAnsi" w:hAnsiTheme="majorHAnsi" w:cs="Arial"/>
          <w:color w:val="auto"/>
          <w:sz w:val="24"/>
          <w:szCs w:val="24"/>
        </w:rPr>
        <w:t xml:space="preserve"> at 33 kV</w:t>
      </w:r>
      <w:r w:rsidR="007A7989" w:rsidRPr="006849EE">
        <w:rPr>
          <w:rFonts w:asciiTheme="majorHAnsi" w:hAnsiTheme="majorHAnsi" w:cs="Arial"/>
          <w:color w:val="auto"/>
          <w:sz w:val="24"/>
          <w:szCs w:val="24"/>
        </w:rPr>
        <w:t xml:space="preserve">, </w:t>
      </w:r>
      <w:r w:rsidRPr="006849EE">
        <w:rPr>
          <w:rFonts w:asciiTheme="majorHAnsi" w:hAnsiTheme="majorHAnsi" w:cs="Arial"/>
          <w:color w:val="auto"/>
          <w:sz w:val="24"/>
          <w:szCs w:val="24"/>
        </w:rPr>
        <w:t>132 kV and 220 kV. The same is represented in the following table.</w:t>
      </w:r>
    </w:p>
    <w:p w14:paraId="3159235B" w14:textId="77777777" w:rsidR="00D41713" w:rsidRPr="006849EE" w:rsidRDefault="00D41713" w:rsidP="00D41713">
      <w:pPr>
        <w:pStyle w:val="ListParagraph"/>
        <w:rPr>
          <w:rFonts w:asciiTheme="majorHAnsi" w:hAnsiTheme="majorHAnsi" w:cs="Arial"/>
          <w:color w:val="auto"/>
          <w:sz w:val="24"/>
          <w:szCs w:val="24"/>
        </w:rPr>
      </w:pPr>
    </w:p>
    <w:tbl>
      <w:tblPr>
        <w:tblStyle w:val="TableGrid"/>
        <w:tblW w:w="0" w:type="auto"/>
        <w:jc w:val="right"/>
        <w:tblLook w:val="04A0" w:firstRow="1" w:lastRow="0" w:firstColumn="1" w:lastColumn="0" w:noHBand="0" w:noVBand="1"/>
      </w:tblPr>
      <w:tblGrid>
        <w:gridCol w:w="2151"/>
        <w:gridCol w:w="1097"/>
        <w:gridCol w:w="1097"/>
        <w:gridCol w:w="1097"/>
        <w:gridCol w:w="1097"/>
        <w:gridCol w:w="1097"/>
      </w:tblGrid>
      <w:tr w:rsidR="00D41713" w:rsidRPr="006849EE" w14:paraId="36C5D050" w14:textId="77777777" w:rsidTr="007A7989">
        <w:trPr>
          <w:tblHeader/>
          <w:jc w:val="right"/>
        </w:trPr>
        <w:tc>
          <w:tcPr>
            <w:tcW w:w="2151" w:type="dxa"/>
          </w:tcPr>
          <w:p w14:paraId="43AE1FD1" w14:textId="77777777" w:rsidR="00D41713" w:rsidRPr="006849EE" w:rsidRDefault="00D41713" w:rsidP="00176D39">
            <w:pPr>
              <w:tabs>
                <w:tab w:val="left" w:pos="720"/>
              </w:tabs>
              <w:spacing w:after="60"/>
              <w:jc w:val="both"/>
              <w:rPr>
                <w:rFonts w:asciiTheme="majorHAnsi" w:hAnsiTheme="majorHAnsi" w:cs="Arial"/>
                <w:b/>
                <w:bCs/>
                <w:color w:val="auto"/>
                <w:sz w:val="24"/>
                <w:szCs w:val="24"/>
              </w:rPr>
            </w:pPr>
            <w:r w:rsidRPr="006849EE">
              <w:rPr>
                <w:rFonts w:asciiTheme="majorHAnsi" w:hAnsiTheme="majorHAnsi" w:cs="Arial"/>
                <w:b/>
                <w:bCs/>
                <w:color w:val="auto"/>
                <w:sz w:val="24"/>
                <w:szCs w:val="24"/>
              </w:rPr>
              <w:t>Particulars</w:t>
            </w:r>
          </w:p>
        </w:tc>
        <w:tc>
          <w:tcPr>
            <w:tcW w:w="1097" w:type="dxa"/>
          </w:tcPr>
          <w:p w14:paraId="0A0772E4" w14:textId="77777777" w:rsidR="00D41713" w:rsidRPr="006849EE" w:rsidRDefault="00D41713" w:rsidP="00176D39">
            <w:pPr>
              <w:tabs>
                <w:tab w:val="left" w:pos="720"/>
              </w:tabs>
              <w:spacing w:after="60"/>
              <w:jc w:val="center"/>
              <w:rPr>
                <w:rFonts w:asciiTheme="majorHAnsi" w:hAnsiTheme="majorHAnsi" w:cs="Arial"/>
                <w:b/>
                <w:bCs/>
                <w:color w:val="auto"/>
                <w:sz w:val="24"/>
                <w:szCs w:val="24"/>
              </w:rPr>
            </w:pPr>
            <w:r w:rsidRPr="006849EE">
              <w:rPr>
                <w:rFonts w:asciiTheme="majorHAnsi" w:hAnsiTheme="majorHAnsi" w:cs="Arial"/>
                <w:b/>
                <w:bCs/>
                <w:color w:val="auto"/>
                <w:sz w:val="24"/>
                <w:szCs w:val="24"/>
              </w:rPr>
              <w:t>2026-27</w:t>
            </w:r>
          </w:p>
        </w:tc>
        <w:tc>
          <w:tcPr>
            <w:tcW w:w="1097" w:type="dxa"/>
          </w:tcPr>
          <w:p w14:paraId="5ACF3FC3" w14:textId="77777777" w:rsidR="00D41713" w:rsidRPr="006849EE" w:rsidRDefault="00D41713" w:rsidP="00176D39">
            <w:pPr>
              <w:tabs>
                <w:tab w:val="left" w:pos="720"/>
              </w:tabs>
              <w:spacing w:after="60"/>
              <w:jc w:val="center"/>
              <w:rPr>
                <w:rFonts w:asciiTheme="majorHAnsi" w:hAnsiTheme="majorHAnsi" w:cs="Arial"/>
                <w:b/>
                <w:bCs/>
                <w:color w:val="auto"/>
                <w:sz w:val="24"/>
                <w:szCs w:val="24"/>
              </w:rPr>
            </w:pPr>
            <w:r w:rsidRPr="006849EE">
              <w:rPr>
                <w:rFonts w:asciiTheme="majorHAnsi" w:hAnsiTheme="majorHAnsi" w:cs="Arial"/>
                <w:b/>
                <w:bCs/>
                <w:color w:val="auto"/>
                <w:sz w:val="24"/>
                <w:szCs w:val="24"/>
              </w:rPr>
              <w:t>2027-28</w:t>
            </w:r>
          </w:p>
        </w:tc>
        <w:tc>
          <w:tcPr>
            <w:tcW w:w="1097" w:type="dxa"/>
          </w:tcPr>
          <w:p w14:paraId="5BCDF8C0" w14:textId="77777777" w:rsidR="00D41713" w:rsidRPr="006849EE" w:rsidRDefault="00D41713" w:rsidP="00176D39">
            <w:pPr>
              <w:tabs>
                <w:tab w:val="left" w:pos="720"/>
              </w:tabs>
              <w:spacing w:after="60"/>
              <w:jc w:val="center"/>
              <w:rPr>
                <w:rFonts w:asciiTheme="majorHAnsi" w:hAnsiTheme="majorHAnsi" w:cs="Arial"/>
                <w:b/>
                <w:bCs/>
                <w:color w:val="auto"/>
                <w:sz w:val="24"/>
                <w:szCs w:val="24"/>
              </w:rPr>
            </w:pPr>
            <w:r w:rsidRPr="006849EE">
              <w:rPr>
                <w:rFonts w:asciiTheme="majorHAnsi" w:hAnsiTheme="majorHAnsi" w:cs="Arial"/>
                <w:b/>
                <w:bCs/>
                <w:color w:val="auto"/>
                <w:sz w:val="24"/>
                <w:szCs w:val="24"/>
              </w:rPr>
              <w:t>2028-29</w:t>
            </w:r>
          </w:p>
        </w:tc>
        <w:tc>
          <w:tcPr>
            <w:tcW w:w="1097" w:type="dxa"/>
          </w:tcPr>
          <w:p w14:paraId="07CCC096" w14:textId="77777777" w:rsidR="00D41713" w:rsidRPr="006849EE" w:rsidRDefault="00D41713" w:rsidP="00176D39">
            <w:pPr>
              <w:tabs>
                <w:tab w:val="left" w:pos="720"/>
              </w:tabs>
              <w:spacing w:after="60"/>
              <w:jc w:val="center"/>
              <w:rPr>
                <w:rFonts w:asciiTheme="majorHAnsi" w:hAnsiTheme="majorHAnsi" w:cs="Arial"/>
                <w:b/>
                <w:bCs/>
                <w:color w:val="auto"/>
                <w:sz w:val="24"/>
                <w:szCs w:val="24"/>
              </w:rPr>
            </w:pPr>
            <w:r w:rsidRPr="006849EE">
              <w:rPr>
                <w:rFonts w:asciiTheme="majorHAnsi" w:hAnsiTheme="majorHAnsi" w:cs="Arial"/>
                <w:b/>
                <w:bCs/>
                <w:color w:val="auto"/>
                <w:sz w:val="24"/>
                <w:szCs w:val="24"/>
              </w:rPr>
              <w:t>2029-30</w:t>
            </w:r>
          </w:p>
        </w:tc>
        <w:tc>
          <w:tcPr>
            <w:tcW w:w="1097" w:type="dxa"/>
          </w:tcPr>
          <w:p w14:paraId="5504DE02" w14:textId="77777777" w:rsidR="00D41713" w:rsidRPr="006849EE" w:rsidRDefault="00D41713" w:rsidP="00176D39">
            <w:pPr>
              <w:tabs>
                <w:tab w:val="left" w:pos="720"/>
              </w:tabs>
              <w:spacing w:after="60"/>
              <w:jc w:val="center"/>
              <w:rPr>
                <w:rFonts w:asciiTheme="majorHAnsi" w:hAnsiTheme="majorHAnsi" w:cs="Arial"/>
                <w:b/>
                <w:bCs/>
                <w:color w:val="auto"/>
                <w:sz w:val="24"/>
                <w:szCs w:val="24"/>
              </w:rPr>
            </w:pPr>
            <w:r w:rsidRPr="006849EE">
              <w:rPr>
                <w:rFonts w:asciiTheme="majorHAnsi" w:hAnsiTheme="majorHAnsi" w:cs="Arial"/>
                <w:b/>
                <w:bCs/>
                <w:color w:val="auto"/>
                <w:sz w:val="24"/>
                <w:szCs w:val="24"/>
              </w:rPr>
              <w:t>2030-31</w:t>
            </w:r>
          </w:p>
        </w:tc>
      </w:tr>
      <w:tr w:rsidR="00E70F1C" w:rsidRPr="006849EE" w14:paraId="36542201" w14:textId="77777777" w:rsidTr="007A7989">
        <w:trPr>
          <w:jc w:val="right"/>
        </w:trPr>
        <w:tc>
          <w:tcPr>
            <w:tcW w:w="2151" w:type="dxa"/>
          </w:tcPr>
          <w:p w14:paraId="5DD561E1" w14:textId="55D56DA2" w:rsidR="00E70F1C" w:rsidRPr="006849EE" w:rsidRDefault="00E70F1C" w:rsidP="00E70F1C">
            <w:pPr>
              <w:tabs>
                <w:tab w:val="left" w:pos="720"/>
              </w:tabs>
              <w:spacing w:after="60"/>
              <w:jc w:val="both"/>
              <w:rPr>
                <w:rFonts w:asciiTheme="majorHAnsi" w:hAnsiTheme="majorHAnsi" w:cs="Arial"/>
                <w:color w:val="auto"/>
                <w:sz w:val="24"/>
                <w:szCs w:val="24"/>
              </w:rPr>
            </w:pPr>
            <w:r w:rsidRPr="006849EE">
              <w:rPr>
                <w:rFonts w:asciiTheme="majorHAnsi" w:hAnsiTheme="majorHAnsi" w:cs="Arial"/>
                <w:color w:val="auto"/>
                <w:sz w:val="24"/>
                <w:szCs w:val="24"/>
              </w:rPr>
              <w:t>Sales % of LT and 11 KV in overall sales</w:t>
            </w:r>
          </w:p>
        </w:tc>
        <w:tc>
          <w:tcPr>
            <w:tcW w:w="1097" w:type="dxa"/>
            <w:vAlign w:val="center"/>
          </w:tcPr>
          <w:p w14:paraId="2B28B887" w14:textId="3656F27C" w:rsidR="00E70F1C" w:rsidRPr="006849EE" w:rsidRDefault="00E70F1C"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1.32%</w:t>
            </w:r>
          </w:p>
        </w:tc>
        <w:tc>
          <w:tcPr>
            <w:tcW w:w="1097" w:type="dxa"/>
            <w:vAlign w:val="center"/>
          </w:tcPr>
          <w:p w14:paraId="7B20E458" w14:textId="0823D66B" w:rsidR="00E70F1C" w:rsidRPr="006849EE" w:rsidRDefault="00E70F1C"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1.65%</w:t>
            </w:r>
          </w:p>
        </w:tc>
        <w:tc>
          <w:tcPr>
            <w:tcW w:w="1097" w:type="dxa"/>
            <w:vAlign w:val="center"/>
          </w:tcPr>
          <w:p w14:paraId="227D3A44" w14:textId="3ACA430F" w:rsidR="00E70F1C" w:rsidRPr="006849EE" w:rsidRDefault="00E70F1C"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1.90%</w:t>
            </w:r>
          </w:p>
        </w:tc>
        <w:tc>
          <w:tcPr>
            <w:tcW w:w="1097" w:type="dxa"/>
            <w:vAlign w:val="center"/>
          </w:tcPr>
          <w:p w14:paraId="45825F89" w14:textId="23BB3926" w:rsidR="00E70F1C" w:rsidRPr="006849EE" w:rsidRDefault="00E70F1C"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2.04%</w:t>
            </w:r>
          </w:p>
        </w:tc>
        <w:tc>
          <w:tcPr>
            <w:tcW w:w="1097" w:type="dxa"/>
            <w:vAlign w:val="center"/>
          </w:tcPr>
          <w:p w14:paraId="4FF99EF6" w14:textId="7A3509B0" w:rsidR="00E70F1C" w:rsidRPr="006849EE" w:rsidRDefault="00E70F1C"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2.39%</w:t>
            </w:r>
          </w:p>
        </w:tc>
      </w:tr>
      <w:tr w:rsidR="00EE57BB" w:rsidRPr="006849EE" w14:paraId="053C2990" w14:textId="77777777" w:rsidTr="007A7989">
        <w:trPr>
          <w:jc w:val="right"/>
        </w:trPr>
        <w:tc>
          <w:tcPr>
            <w:tcW w:w="2151" w:type="dxa"/>
          </w:tcPr>
          <w:p w14:paraId="54A943A6" w14:textId="50EE4933" w:rsidR="00EE57BB" w:rsidRPr="006849EE" w:rsidRDefault="00EE57BB" w:rsidP="00EE57BB">
            <w:pPr>
              <w:tabs>
                <w:tab w:val="left" w:pos="720"/>
              </w:tabs>
              <w:spacing w:after="6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Sales % of </w:t>
            </w:r>
            <w:r w:rsidR="00E075EA" w:rsidRPr="006849EE">
              <w:rPr>
                <w:rFonts w:asciiTheme="majorHAnsi" w:hAnsiTheme="majorHAnsi" w:cs="Arial"/>
                <w:color w:val="auto"/>
                <w:sz w:val="24"/>
                <w:szCs w:val="24"/>
              </w:rPr>
              <w:t xml:space="preserve">33KV, </w:t>
            </w:r>
            <w:r w:rsidRPr="006849EE">
              <w:rPr>
                <w:rFonts w:asciiTheme="majorHAnsi" w:hAnsiTheme="majorHAnsi" w:cs="Arial"/>
                <w:color w:val="auto"/>
                <w:sz w:val="24"/>
                <w:szCs w:val="24"/>
              </w:rPr>
              <w:t>132 KV and 220 KV in overall sales</w:t>
            </w:r>
          </w:p>
        </w:tc>
        <w:tc>
          <w:tcPr>
            <w:tcW w:w="1097" w:type="dxa"/>
            <w:vAlign w:val="center"/>
          </w:tcPr>
          <w:p w14:paraId="34165196" w14:textId="0B412C18" w:rsidR="00EE57BB" w:rsidRPr="006849EE" w:rsidRDefault="00EE57BB"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98.68%</w:t>
            </w:r>
          </w:p>
        </w:tc>
        <w:tc>
          <w:tcPr>
            <w:tcW w:w="1097" w:type="dxa"/>
            <w:vAlign w:val="center"/>
          </w:tcPr>
          <w:p w14:paraId="0D8B92BA" w14:textId="22208126" w:rsidR="00EE57BB" w:rsidRPr="006849EE" w:rsidRDefault="00EE57BB"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98.35%</w:t>
            </w:r>
          </w:p>
        </w:tc>
        <w:tc>
          <w:tcPr>
            <w:tcW w:w="1097" w:type="dxa"/>
            <w:vAlign w:val="center"/>
          </w:tcPr>
          <w:p w14:paraId="3AD781C4" w14:textId="39AE25FA" w:rsidR="00EE57BB" w:rsidRPr="006849EE" w:rsidRDefault="00EE57BB"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98.10%</w:t>
            </w:r>
          </w:p>
        </w:tc>
        <w:tc>
          <w:tcPr>
            <w:tcW w:w="1097" w:type="dxa"/>
            <w:vAlign w:val="center"/>
          </w:tcPr>
          <w:p w14:paraId="54E9D1E1" w14:textId="6BBDB207" w:rsidR="00EE57BB" w:rsidRPr="006849EE" w:rsidRDefault="00EE57BB"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97.96%</w:t>
            </w:r>
          </w:p>
        </w:tc>
        <w:tc>
          <w:tcPr>
            <w:tcW w:w="1097" w:type="dxa"/>
            <w:vAlign w:val="center"/>
          </w:tcPr>
          <w:p w14:paraId="6C048A57" w14:textId="757DE51E" w:rsidR="00EE57BB" w:rsidRPr="006849EE" w:rsidRDefault="00EE57BB"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97.61%</w:t>
            </w:r>
          </w:p>
        </w:tc>
      </w:tr>
      <w:tr w:rsidR="00115118" w:rsidRPr="006849EE" w14:paraId="172322DA" w14:textId="77777777" w:rsidTr="007A7989">
        <w:trPr>
          <w:jc w:val="right"/>
        </w:trPr>
        <w:tc>
          <w:tcPr>
            <w:tcW w:w="2151" w:type="dxa"/>
          </w:tcPr>
          <w:p w14:paraId="701339D3" w14:textId="77777777" w:rsidR="00115118" w:rsidRPr="006849EE" w:rsidRDefault="00115118" w:rsidP="00115118">
            <w:pPr>
              <w:tabs>
                <w:tab w:val="left" w:pos="720"/>
              </w:tabs>
              <w:spacing w:after="60"/>
              <w:jc w:val="both"/>
              <w:rPr>
                <w:rFonts w:asciiTheme="majorHAnsi" w:hAnsiTheme="majorHAnsi" w:cs="Arial"/>
                <w:color w:val="auto"/>
                <w:sz w:val="24"/>
                <w:szCs w:val="24"/>
              </w:rPr>
            </w:pPr>
            <w:r w:rsidRPr="006849EE">
              <w:rPr>
                <w:rFonts w:asciiTheme="majorHAnsi" w:hAnsiTheme="majorHAnsi" w:cs="Arial"/>
                <w:color w:val="auto"/>
                <w:sz w:val="24"/>
                <w:szCs w:val="24"/>
              </w:rPr>
              <w:t>Projected T&amp;D loss (%)</w:t>
            </w:r>
          </w:p>
        </w:tc>
        <w:tc>
          <w:tcPr>
            <w:tcW w:w="1097" w:type="dxa"/>
            <w:vAlign w:val="center"/>
          </w:tcPr>
          <w:p w14:paraId="2C9E3C8E" w14:textId="3F03AE7E" w:rsidR="00115118" w:rsidRPr="006849EE" w:rsidRDefault="00115118"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3.52%</w:t>
            </w:r>
          </w:p>
        </w:tc>
        <w:tc>
          <w:tcPr>
            <w:tcW w:w="1097" w:type="dxa"/>
            <w:vAlign w:val="center"/>
          </w:tcPr>
          <w:p w14:paraId="4D85D273" w14:textId="2E036E81" w:rsidR="00115118" w:rsidRPr="006849EE" w:rsidRDefault="00115118"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3.60%</w:t>
            </w:r>
          </w:p>
        </w:tc>
        <w:tc>
          <w:tcPr>
            <w:tcW w:w="1097" w:type="dxa"/>
            <w:vAlign w:val="center"/>
          </w:tcPr>
          <w:p w14:paraId="21E76ED4" w14:textId="73834DE0" w:rsidR="00115118" w:rsidRPr="006849EE" w:rsidRDefault="00115118"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3.65%</w:t>
            </w:r>
          </w:p>
        </w:tc>
        <w:tc>
          <w:tcPr>
            <w:tcW w:w="1097" w:type="dxa"/>
            <w:vAlign w:val="center"/>
          </w:tcPr>
          <w:p w14:paraId="469387D1" w14:textId="78CC29C9" w:rsidR="00115118" w:rsidRPr="006849EE" w:rsidRDefault="00115118"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3.82%</w:t>
            </w:r>
          </w:p>
        </w:tc>
        <w:tc>
          <w:tcPr>
            <w:tcW w:w="1097" w:type="dxa"/>
            <w:vAlign w:val="center"/>
          </w:tcPr>
          <w:p w14:paraId="24CE3DBC" w14:textId="0A2CED8F" w:rsidR="00115118" w:rsidRPr="006849EE" w:rsidRDefault="00115118" w:rsidP="00EE57BB">
            <w:pPr>
              <w:tabs>
                <w:tab w:val="left" w:pos="720"/>
              </w:tabs>
              <w:spacing w:after="60"/>
              <w:jc w:val="center"/>
              <w:rPr>
                <w:rFonts w:asciiTheme="majorHAnsi" w:hAnsiTheme="majorHAnsi" w:cs="Arial"/>
                <w:color w:val="auto"/>
                <w:sz w:val="24"/>
                <w:szCs w:val="24"/>
              </w:rPr>
            </w:pPr>
            <w:r w:rsidRPr="006849EE">
              <w:rPr>
                <w:rFonts w:asciiTheme="majorHAnsi" w:hAnsiTheme="majorHAnsi" w:cs="Arial"/>
                <w:sz w:val="24"/>
                <w:szCs w:val="24"/>
              </w:rPr>
              <w:t>3.96%</w:t>
            </w:r>
          </w:p>
        </w:tc>
      </w:tr>
    </w:tbl>
    <w:p w14:paraId="39FCB899" w14:textId="77777777" w:rsidR="00D41713" w:rsidRPr="006849EE" w:rsidRDefault="00D41713" w:rsidP="00D41713">
      <w:pPr>
        <w:tabs>
          <w:tab w:val="left" w:pos="720"/>
        </w:tabs>
        <w:spacing w:line="360" w:lineRule="auto"/>
        <w:ind w:left="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 </w:t>
      </w:r>
    </w:p>
    <w:p w14:paraId="2F429049" w14:textId="77777777" w:rsidR="00D41713" w:rsidRPr="006849EE" w:rsidRDefault="00D41713" w:rsidP="00D41713">
      <w:pPr>
        <w:tabs>
          <w:tab w:val="left" w:pos="720"/>
        </w:tabs>
        <w:spacing w:line="360" w:lineRule="auto"/>
        <w:ind w:left="720"/>
        <w:jc w:val="both"/>
        <w:rPr>
          <w:rFonts w:asciiTheme="majorHAnsi" w:hAnsiTheme="majorHAnsi" w:cs="Arial"/>
          <w:color w:val="auto"/>
          <w:sz w:val="24"/>
          <w:szCs w:val="24"/>
        </w:rPr>
      </w:pPr>
      <w:r w:rsidRPr="006849EE">
        <w:rPr>
          <w:rFonts w:asciiTheme="majorHAnsi" w:hAnsiTheme="majorHAnsi" w:cs="Arial"/>
          <w:color w:val="auto"/>
          <w:sz w:val="24"/>
          <w:szCs w:val="24"/>
        </w:rPr>
        <w:t>In consideration of the above, this Hon’ble Commission is humbly requested to approve the T&amp;D loss trajectory as proposed by DVC for the MYT Control Period.</w:t>
      </w:r>
    </w:p>
    <w:p w14:paraId="1DF112F3" w14:textId="77777777" w:rsidR="00D41713" w:rsidRPr="006849EE" w:rsidRDefault="00D41713" w:rsidP="00D41713">
      <w:pPr>
        <w:spacing w:line="360" w:lineRule="auto"/>
        <w:ind w:left="734"/>
        <w:jc w:val="both"/>
        <w:rPr>
          <w:rFonts w:asciiTheme="majorHAnsi" w:hAnsiTheme="majorHAnsi" w:cs="Arial"/>
          <w:b/>
          <w:bCs/>
          <w:color w:val="auto"/>
          <w:sz w:val="24"/>
          <w:szCs w:val="24"/>
        </w:rPr>
      </w:pPr>
    </w:p>
    <w:p w14:paraId="0A177736" w14:textId="4424B6C6" w:rsidR="002B1D87" w:rsidRPr="006849EE" w:rsidRDefault="002B1D87" w:rsidP="00B90377">
      <w:pPr>
        <w:pStyle w:val="ListParagraph"/>
        <w:numPr>
          <w:ilvl w:val="0"/>
          <w:numId w:val="11"/>
        </w:numPr>
        <w:spacing w:line="360" w:lineRule="auto"/>
        <w:jc w:val="both"/>
        <w:rPr>
          <w:rFonts w:asciiTheme="majorHAnsi" w:hAnsiTheme="majorHAnsi" w:cs="Arial"/>
          <w:b/>
          <w:bCs/>
          <w:color w:val="auto"/>
          <w:sz w:val="24"/>
          <w:szCs w:val="24"/>
          <w:u w:val="single"/>
        </w:rPr>
      </w:pPr>
      <w:r w:rsidRPr="006849EE">
        <w:rPr>
          <w:rFonts w:asciiTheme="majorHAnsi" w:hAnsiTheme="majorHAnsi" w:cs="Arial"/>
          <w:b/>
          <w:bCs/>
          <w:color w:val="auto"/>
          <w:sz w:val="24"/>
          <w:szCs w:val="24"/>
          <w:u w:val="single"/>
        </w:rPr>
        <w:lastRenderedPageBreak/>
        <w:t>Power Purchase Cost</w:t>
      </w:r>
      <w:r w:rsidR="00E55B6B" w:rsidRPr="006849EE">
        <w:rPr>
          <w:rFonts w:asciiTheme="majorHAnsi" w:hAnsiTheme="majorHAnsi" w:cs="Arial"/>
          <w:b/>
          <w:bCs/>
          <w:color w:val="auto"/>
          <w:sz w:val="24"/>
          <w:szCs w:val="24"/>
          <w:u w:val="single"/>
        </w:rPr>
        <w:t xml:space="preserve"> (</w:t>
      </w:r>
      <w:proofErr w:type="gramStart"/>
      <w:r w:rsidR="00E55B6B" w:rsidRPr="006849EE">
        <w:rPr>
          <w:rFonts w:asciiTheme="majorHAnsi" w:hAnsiTheme="majorHAnsi" w:cs="Arial"/>
          <w:b/>
          <w:bCs/>
          <w:color w:val="auto"/>
          <w:sz w:val="24"/>
          <w:szCs w:val="24"/>
          <w:u w:val="single"/>
        </w:rPr>
        <w:t>Non Renewable</w:t>
      </w:r>
      <w:proofErr w:type="gramEnd"/>
      <w:r w:rsidR="00E55B6B" w:rsidRPr="006849EE">
        <w:rPr>
          <w:rFonts w:asciiTheme="majorHAnsi" w:hAnsiTheme="majorHAnsi" w:cs="Arial"/>
          <w:b/>
          <w:bCs/>
          <w:color w:val="auto"/>
          <w:sz w:val="24"/>
          <w:szCs w:val="24"/>
          <w:u w:val="single"/>
        </w:rPr>
        <w:t xml:space="preserve"> sources)</w:t>
      </w:r>
    </w:p>
    <w:p w14:paraId="53640D40" w14:textId="771E8988" w:rsidR="00774322" w:rsidRPr="006849EE" w:rsidRDefault="00774322" w:rsidP="004D671F">
      <w:pPr>
        <w:numPr>
          <w:ilvl w:val="0"/>
          <w:numId w:val="1"/>
        </w:numPr>
        <w:tabs>
          <w:tab w:val="clear" w:pos="1080"/>
          <w:tab w:val="num" w:pos="735"/>
        </w:tabs>
        <w:spacing w:line="360" w:lineRule="auto"/>
        <w:ind w:left="734" w:hanging="734"/>
        <w:jc w:val="both"/>
        <w:rPr>
          <w:rFonts w:asciiTheme="majorHAnsi" w:hAnsiTheme="majorHAnsi" w:cs="Arial"/>
          <w:sz w:val="24"/>
          <w:szCs w:val="24"/>
        </w:rPr>
      </w:pPr>
      <w:r w:rsidRPr="006849EE">
        <w:rPr>
          <w:rFonts w:asciiTheme="majorHAnsi" w:hAnsiTheme="majorHAnsi" w:cs="Arial"/>
          <w:sz w:val="24"/>
          <w:szCs w:val="24"/>
        </w:rPr>
        <w:t>D</w:t>
      </w:r>
      <w:r w:rsidR="0074519F" w:rsidRPr="006849EE">
        <w:rPr>
          <w:rFonts w:asciiTheme="majorHAnsi" w:hAnsiTheme="majorHAnsi" w:cs="Arial"/>
          <w:sz w:val="24"/>
          <w:szCs w:val="24"/>
        </w:rPr>
        <w:t>V</w:t>
      </w:r>
      <w:r w:rsidR="006446B0" w:rsidRPr="006849EE">
        <w:rPr>
          <w:rFonts w:asciiTheme="majorHAnsi" w:hAnsiTheme="majorHAnsi" w:cs="Arial"/>
          <w:sz w:val="24"/>
          <w:szCs w:val="24"/>
        </w:rPr>
        <w:t>C</w:t>
      </w:r>
      <w:r w:rsidRPr="006849EE">
        <w:rPr>
          <w:rFonts w:asciiTheme="majorHAnsi" w:hAnsiTheme="majorHAnsi" w:cs="Arial"/>
          <w:sz w:val="24"/>
          <w:szCs w:val="24"/>
        </w:rPr>
        <w:t xml:space="preserve"> p</w:t>
      </w:r>
      <w:r w:rsidR="00663839" w:rsidRPr="006849EE">
        <w:rPr>
          <w:rFonts w:asciiTheme="majorHAnsi" w:hAnsiTheme="majorHAnsi" w:cs="Arial"/>
          <w:sz w:val="24"/>
          <w:szCs w:val="24"/>
        </w:rPr>
        <w:t>urchases</w:t>
      </w:r>
      <w:r w:rsidRPr="006849EE">
        <w:rPr>
          <w:rFonts w:asciiTheme="majorHAnsi" w:hAnsiTheme="majorHAnsi" w:cs="Arial"/>
          <w:sz w:val="24"/>
          <w:szCs w:val="24"/>
        </w:rPr>
        <w:t xml:space="preserve"> </w:t>
      </w:r>
      <w:r w:rsidR="001B6D11" w:rsidRPr="006849EE">
        <w:rPr>
          <w:rFonts w:asciiTheme="majorHAnsi" w:hAnsiTheme="majorHAnsi" w:cs="Arial"/>
          <w:sz w:val="24"/>
          <w:szCs w:val="24"/>
        </w:rPr>
        <w:t>power</w:t>
      </w:r>
      <w:r w:rsidRPr="006849EE">
        <w:rPr>
          <w:rFonts w:asciiTheme="majorHAnsi" w:hAnsiTheme="majorHAnsi" w:cs="Arial"/>
          <w:sz w:val="24"/>
          <w:szCs w:val="24"/>
        </w:rPr>
        <w:t xml:space="preserve"> from a range of sources to meet its supply obligations within the Damodar Valley area. In accordance with Sections 61, 62, and 63 of the Electricity Act, 2003, and relevant CERC and State Electricity Regulatory Commission (SERC) regulations, the cost of power procurement and transmission is considered a legitimate input cost in the determination of retail supply tariff.</w:t>
      </w:r>
    </w:p>
    <w:p w14:paraId="51020D5E" w14:textId="3E165BAE" w:rsidR="00774322" w:rsidRPr="006849EE" w:rsidRDefault="00774322" w:rsidP="00B24E96">
      <w:pPr>
        <w:numPr>
          <w:ilvl w:val="0"/>
          <w:numId w:val="1"/>
        </w:numPr>
        <w:tabs>
          <w:tab w:val="clear" w:pos="1080"/>
          <w:tab w:val="num" w:pos="735"/>
        </w:tabs>
        <w:spacing w:line="360" w:lineRule="auto"/>
        <w:ind w:left="734" w:hanging="734"/>
        <w:jc w:val="both"/>
        <w:rPr>
          <w:rFonts w:asciiTheme="majorHAnsi" w:hAnsiTheme="majorHAnsi" w:cs="Arial"/>
          <w:sz w:val="24"/>
          <w:szCs w:val="24"/>
        </w:rPr>
      </w:pPr>
      <w:r w:rsidRPr="006849EE">
        <w:rPr>
          <w:rFonts w:asciiTheme="majorHAnsi" w:hAnsiTheme="majorHAnsi" w:cs="Arial"/>
          <w:sz w:val="24"/>
          <w:szCs w:val="24"/>
        </w:rPr>
        <w:t xml:space="preserve">DVC currently </w:t>
      </w:r>
      <w:r w:rsidRPr="006849EE">
        <w:rPr>
          <w:rFonts w:asciiTheme="majorHAnsi" w:hAnsiTheme="majorHAnsi" w:cs="Arial"/>
          <w:color w:val="auto"/>
          <w:sz w:val="24"/>
          <w:szCs w:val="24"/>
        </w:rPr>
        <w:t>sources</w:t>
      </w:r>
      <w:r w:rsidRPr="006849EE">
        <w:rPr>
          <w:rFonts w:asciiTheme="majorHAnsi" w:hAnsiTheme="majorHAnsi" w:cs="Arial"/>
          <w:sz w:val="24"/>
          <w:szCs w:val="24"/>
        </w:rPr>
        <w:t xml:space="preserve"> power from Central Sector Generating Stations (CSGS) such as NTPC and NHPC, as well as from other entities including Bhutan Hydro Power (through PTC), MPL,</w:t>
      </w:r>
      <w:r w:rsidR="00826D69" w:rsidRPr="006849EE">
        <w:rPr>
          <w:rFonts w:asciiTheme="majorHAnsi" w:hAnsiTheme="majorHAnsi" w:cs="Arial"/>
          <w:sz w:val="24"/>
          <w:szCs w:val="24"/>
        </w:rPr>
        <w:t xml:space="preserve"> KBUNL</w:t>
      </w:r>
      <w:r w:rsidR="000E0FE4" w:rsidRPr="006849EE">
        <w:rPr>
          <w:rFonts w:asciiTheme="majorHAnsi" w:hAnsiTheme="majorHAnsi" w:cs="Arial"/>
          <w:sz w:val="24"/>
          <w:szCs w:val="24"/>
        </w:rPr>
        <w:t>,</w:t>
      </w:r>
      <w:r w:rsidRPr="006849EE">
        <w:rPr>
          <w:rFonts w:asciiTheme="majorHAnsi" w:hAnsiTheme="majorHAnsi" w:cs="Arial"/>
          <w:sz w:val="24"/>
          <w:szCs w:val="24"/>
        </w:rPr>
        <w:t xml:space="preserve"> and the Power Exchange. These purchases are undertaken to ensure adequacy of supply and maintain grid stability.</w:t>
      </w:r>
      <w:r w:rsidR="006446B0" w:rsidRPr="006849EE">
        <w:rPr>
          <w:rFonts w:asciiTheme="majorHAnsi" w:hAnsiTheme="majorHAnsi" w:cs="Arial"/>
          <w:sz w:val="24"/>
          <w:szCs w:val="24"/>
        </w:rPr>
        <w:t xml:space="preserve"> </w:t>
      </w:r>
      <w:r w:rsidR="00245923" w:rsidRPr="006849EE">
        <w:rPr>
          <w:rFonts w:asciiTheme="majorHAnsi" w:hAnsiTheme="majorHAnsi" w:cs="Arial"/>
          <w:sz w:val="24"/>
          <w:szCs w:val="24"/>
        </w:rPr>
        <w:t xml:space="preserve">In case of a contingency </w:t>
      </w:r>
      <w:proofErr w:type="gramStart"/>
      <w:r w:rsidR="00245923" w:rsidRPr="006849EE">
        <w:rPr>
          <w:rFonts w:asciiTheme="majorHAnsi" w:hAnsiTheme="majorHAnsi" w:cs="Arial"/>
          <w:sz w:val="24"/>
          <w:szCs w:val="24"/>
        </w:rPr>
        <w:t>situation</w:t>
      </w:r>
      <w:proofErr w:type="gramEnd"/>
      <w:r w:rsidR="00245923" w:rsidRPr="006849EE">
        <w:rPr>
          <w:rFonts w:asciiTheme="majorHAnsi" w:hAnsiTheme="majorHAnsi" w:cs="Arial"/>
          <w:sz w:val="24"/>
          <w:szCs w:val="24"/>
        </w:rPr>
        <w:t xml:space="preserve"> i.e. shortage of own generation or CSGS/MPL etc., DVC meets the real time demand by purchasing power from power exchanges. </w:t>
      </w:r>
    </w:p>
    <w:p w14:paraId="545D0773" w14:textId="77777777" w:rsidR="002B56AC" w:rsidRPr="006849EE" w:rsidRDefault="002B56AC" w:rsidP="004D671F">
      <w:pPr>
        <w:pStyle w:val="ListParagraph"/>
        <w:ind w:left="1454"/>
        <w:jc w:val="both"/>
        <w:rPr>
          <w:rFonts w:asciiTheme="majorHAnsi" w:hAnsiTheme="majorHAnsi" w:cs="Arial"/>
          <w:sz w:val="24"/>
          <w:szCs w:val="24"/>
        </w:rPr>
      </w:pPr>
    </w:p>
    <w:p w14:paraId="1D61A055" w14:textId="77777777" w:rsidR="0066621A" w:rsidRPr="006849EE" w:rsidRDefault="00FE5DF3" w:rsidP="0066621A">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The projections have been made considering trend of past purchase quantum and average price, recent performance of generating stations and expected improvement thereon as well as the averaging of seasonal fluctuations. The power purchase quantum for different generating stations </w:t>
      </w:r>
      <w:proofErr w:type="gramStart"/>
      <w:r w:rsidRPr="006849EE">
        <w:rPr>
          <w:rFonts w:asciiTheme="majorHAnsi" w:hAnsiTheme="majorHAnsi" w:cs="Arial"/>
          <w:color w:val="auto"/>
          <w:sz w:val="24"/>
          <w:szCs w:val="24"/>
        </w:rPr>
        <w:t>have</w:t>
      </w:r>
      <w:proofErr w:type="gramEnd"/>
      <w:r w:rsidRPr="006849EE">
        <w:rPr>
          <w:rFonts w:asciiTheme="majorHAnsi" w:hAnsiTheme="majorHAnsi" w:cs="Arial"/>
          <w:color w:val="auto"/>
          <w:sz w:val="24"/>
          <w:szCs w:val="24"/>
        </w:rPr>
        <w:t xml:space="preserve"> been projected as under:</w:t>
      </w:r>
    </w:p>
    <w:p w14:paraId="4A84C6AB" w14:textId="295F4668" w:rsidR="00955421" w:rsidRPr="006849EE" w:rsidRDefault="0066621A" w:rsidP="00B90377">
      <w:pPr>
        <w:numPr>
          <w:ilvl w:val="0"/>
          <w:numId w:val="12"/>
        </w:numPr>
        <w:spacing w:line="360" w:lineRule="auto"/>
        <w:jc w:val="both"/>
        <w:rPr>
          <w:rFonts w:asciiTheme="majorHAnsi" w:hAnsiTheme="majorHAnsi" w:cs="Arial"/>
          <w:color w:val="auto"/>
          <w:sz w:val="24"/>
          <w:szCs w:val="24"/>
        </w:rPr>
      </w:pPr>
      <w:r w:rsidRPr="006849EE">
        <w:rPr>
          <w:rFonts w:asciiTheme="majorHAnsi" w:hAnsiTheme="majorHAnsi" w:cs="Arial"/>
          <w:color w:val="auto"/>
          <w:sz w:val="24"/>
          <w:szCs w:val="24"/>
        </w:rPr>
        <w:t>The power purchase cost from Central Sector Generating Stations (CSGS) such as NTPC, NHPC, KBUNL, and others, as well as from Bhutan Hydro Power (through PTC) and MPL, has been projected based on suitable assumptions in the absence of final tariff orders issued by the Hon’ble CERC for the relevant control period. These projections have been made considering historical trends, and prevailing rates, and are subject to revision upon issuance of the applicable tariff orders by the Hon’ble Commission.</w:t>
      </w:r>
      <w:r w:rsidR="006C720B" w:rsidRPr="006849EE">
        <w:rPr>
          <w:rFonts w:asciiTheme="majorHAnsi" w:hAnsiTheme="majorHAnsi" w:cs="Arial"/>
          <w:color w:val="auto"/>
          <w:sz w:val="24"/>
          <w:szCs w:val="24"/>
        </w:rPr>
        <w:t xml:space="preserve"> </w:t>
      </w:r>
    </w:p>
    <w:p w14:paraId="7C7D5D96" w14:textId="05608C47" w:rsidR="000756FF" w:rsidRPr="006849EE" w:rsidRDefault="006C720B" w:rsidP="000756FF">
      <w:pPr>
        <w:numPr>
          <w:ilvl w:val="0"/>
          <w:numId w:val="12"/>
        </w:numPr>
        <w:spacing w:line="360" w:lineRule="auto"/>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For Teesta </w:t>
      </w:r>
      <w:r w:rsidR="00F45A78" w:rsidRPr="006849EE">
        <w:rPr>
          <w:rFonts w:asciiTheme="majorHAnsi" w:hAnsiTheme="majorHAnsi" w:cs="Arial"/>
          <w:color w:val="auto"/>
          <w:sz w:val="24"/>
          <w:szCs w:val="24"/>
        </w:rPr>
        <w:t xml:space="preserve">hydro </w:t>
      </w:r>
      <w:r w:rsidRPr="006849EE">
        <w:rPr>
          <w:rFonts w:asciiTheme="majorHAnsi" w:hAnsiTheme="majorHAnsi" w:cs="Arial"/>
          <w:color w:val="auto"/>
          <w:sz w:val="24"/>
          <w:szCs w:val="24"/>
        </w:rPr>
        <w:t>plant, no projection of power purchase has been considered in FY 202</w:t>
      </w:r>
      <w:r w:rsidR="00094068" w:rsidRPr="006849EE">
        <w:rPr>
          <w:rFonts w:asciiTheme="majorHAnsi" w:hAnsiTheme="majorHAnsi" w:cs="Arial"/>
          <w:color w:val="auto"/>
          <w:sz w:val="24"/>
          <w:szCs w:val="24"/>
        </w:rPr>
        <w:t>6-27 to</w:t>
      </w:r>
      <w:r w:rsidRPr="006849EE">
        <w:rPr>
          <w:rFonts w:asciiTheme="majorHAnsi" w:hAnsiTheme="majorHAnsi" w:cs="Arial"/>
          <w:color w:val="auto"/>
          <w:sz w:val="24"/>
          <w:szCs w:val="24"/>
        </w:rPr>
        <w:t xml:space="preserve"> FY 20</w:t>
      </w:r>
      <w:r w:rsidR="00094068" w:rsidRPr="006849EE">
        <w:rPr>
          <w:rFonts w:asciiTheme="majorHAnsi" w:hAnsiTheme="majorHAnsi" w:cs="Arial"/>
          <w:color w:val="auto"/>
          <w:sz w:val="24"/>
          <w:szCs w:val="24"/>
        </w:rPr>
        <w:t>30-31</w:t>
      </w:r>
      <w:r w:rsidRPr="006849EE">
        <w:rPr>
          <w:rFonts w:asciiTheme="majorHAnsi" w:hAnsiTheme="majorHAnsi" w:cs="Arial"/>
          <w:color w:val="auto"/>
          <w:sz w:val="24"/>
          <w:szCs w:val="24"/>
        </w:rPr>
        <w:t xml:space="preserve"> as the</w:t>
      </w:r>
      <w:r w:rsidR="00D401E0" w:rsidRPr="006849EE">
        <w:rPr>
          <w:rFonts w:asciiTheme="majorHAnsi" w:hAnsiTheme="majorHAnsi" w:cs="Arial"/>
          <w:color w:val="auto"/>
          <w:sz w:val="24"/>
          <w:szCs w:val="24"/>
        </w:rPr>
        <w:t xml:space="preserve"> hydro</w:t>
      </w:r>
      <w:r w:rsidRPr="006849EE">
        <w:rPr>
          <w:rFonts w:asciiTheme="majorHAnsi" w:hAnsiTheme="majorHAnsi" w:cs="Arial"/>
          <w:color w:val="auto"/>
          <w:sz w:val="24"/>
          <w:szCs w:val="24"/>
        </w:rPr>
        <w:t xml:space="preserve"> plant has been damaged due to floods and </w:t>
      </w:r>
      <w:r w:rsidR="00D401E0" w:rsidRPr="006849EE">
        <w:rPr>
          <w:rFonts w:asciiTheme="majorHAnsi" w:hAnsiTheme="majorHAnsi" w:cs="Arial"/>
          <w:color w:val="auto"/>
          <w:sz w:val="24"/>
          <w:szCs w:val="24"/>
        </w:rPr>
        <w:t xml:space="preserve">is </w:t>
      </w:r>
      <w:r w:rsidRPr="006849EE">
        <w:rPr>
          <w:rFonts w:asciiTheme="majorHAnsi" w:hAnsiTheme="majorHAnsi" w:cs="Arial"/>
          <w:color w:val="auto"/>
          <w:sz w:val="24"/>
          <w:szCs w:val="24"/>
        </w:rPr>
        <w:t>not in operation at present</w:t>
      </w:r>
      <w:r w:rsidR="007C609E" w:rsidRPr="006849EE">
        <w:rPr>
          <w:rFonts w:asciiTheme="majorHAnsi" w:hAnsiTheme="majorHAnsi" w:cs="Arial"/>
          <w:color w:val="auto"/>
          <w:sz w:val="24"/>
          <w:szCs w:val="24"/>
        </w:rPr>
        <w:t>.</w:t>
      </w:r>
    </w:p>
    <w:p w14:paraId="1198B844" w14:textId="77777777" w:rsidR="00C85816" w:rsidRPr="006849EE" w:rsidRDefault="00C85816" w:rsidP="00C85816">
      <w:pPr>
        <w:spacing w:line="360" w:lineRule="auto"/>
        <w:ind w:left="734"/>
        <w:jc w:val="both"/>
        <w:rPr>
          <w:rFonts w:asciiTheme="majorHAnsi" w:hAnsiTheme="majorHAnsi" w:cs="Arial"/>
          <w:color w:val="auto"/>
          <w:sz w:val="24"/>
          <w:szCs w:val="24"/>
        </w:rPr>
      </w:pPr>
    </w:p>
    <w:p w14:paraId="5A337136" w14:textId="65ABE08D" w:rsidR="00B34990" w:rsidRPr="006849EE" w:rsidRDefault="009F31B3" w:rsidP="00B90377">
      <w:pPr>
        <w:pStyle w:val="ListParagraph"/>
        <w:numPr>
          <w:ilvl w:val="0"/>
          <w:numId w:val="11"/>
        </w:numPr>
        <w:spacing w:line="360" w:lineRule="auto"/>
        <w:jc w:val="both"/>
        <w:rPr>
          <w:rFonts w:asciiTheme="majorHAnsi" w:hAnsiTheme="majorHAnsi" w:cs="Arial"/>
          <w:b/>
          <w:bCs/>
          <w:color w:val="auto"/>
          <w:sz w:val="24"/>
          <w:szCs w:val="24"/>
          <w:u w:val="single"/>
        </w:rPr>
      </w:pPr>
      <w:r w:rsidRPr="006849EE">
        <w:rPr>
          <w:rFonts w:asciiTheme="majorHAnsi" w:hAnsiTheme="majorHAnsi" w:cs="Arial"/>
          <w:b/>
          <w:bCs/>
          <w:color w:val="auto"/>
          <w:sz w:val="24"/>
          <w:szCs w:val="24"/>
          <w:u w:val="single"/>
        </w:rPr>
        <w:t xml:space="preserve">Renewable </w:t>
      </w:r>
      <w:r w:rsidR="00474A7A" w:rsidRPr="006849EE">
        <w:rPr>
          <w:rFonts w:asciiTheme="majorHAnsi" w:hAnsiTheme="majorHAnsi" w:cs="Arial"/>
          <w:b/>
          <w:bCs/>
          <w:color w:val="auto"/>
          <w:sz w:val="24"/>
          <w:szCs w:val="24"/>
          <w:u w:val="single"/>
        </w:rPr>
        <w:t xml:space="preserve">power purchase &amp; </w:t>
      </w:r>
      <w:r w:rsidR="00BD5C08" w:rsidRPr="006849EE">
        <w:rPr>
          <w:rFonts w:asciiTheme="majorHAnsi" w:hAnsiTheme="majorHAnsi" w:cs="Arial"/>
          <w:b/>
          <w:bCs/>
          <w:color w:val="auto"/>
          <w:sz w:val="24"/>
          <w:szCs w:val="24"/>
          <w:u w:val="single"/>
        </w:rPr>
        <w:t>RPO Compliance:</w:t>
      </w:r>
    </w:p>
    <w:p w14:paraId="733A3621" w14:textId="6BA4BC33" w:rsidR="000F6EA7" w:rsidRPr="006849EE" w:rsidRDefault="00E55B6B" w:rsidP="005D7829">
      <w:pPr>
        <w:numPr>
          <w:ilvl w:val="0"/>
          <w:numId w:val="1"/>
        </w:numPr>
        <w:tabs>
          <w:tab w:val="clear" w:pos="1080"/>
          <w:tab w:val="num" w:pos="735"/>
        </w:tabs>
        <w:spacing w:line="360" w:lineRule="auto"/>
        <w:ind w:left="734" w:hanging="735"/>
        <w:jc w:val="both"/>
        <w:rPr>
          <w:rFonts w:asciiTheme="majorHAnsi" w:hAnsiTheme="majorHAnsi" w:cs="Arial"/>
          <w:sz w:val="24"/>
          <w:szCs w:val="24"/>
        </w:rPr>
      </w:pPr>
      <w:r w:rsidRPr="006849EE">
        <w:rPr>
          <w:rFonts w:asciiTheme="majorHAnsi" w:hAnsiTheme="majorHAnsi" w:cs="Arial"/>
          <w:sz w:val="24"/>
          <w:szCs w:val="24"/>
        </w:rPr>
        <w:t xml:space="preserve">DVC </w:t>
      </w:r>
      <w:r w:rsidRPr="006849EE">
        <w:rPr>
          <w:rFonts w:asciiTheme="majorHAnsi" w:hAnsiTheme="majorHAnsi" w:cs="Arial"/>
          <w:color w:val="auto"/>
          <w:sz w:val="24"/>
          <w:szCs w:val="24"/>
        </w:rPr>
        <w:t>procures</w:t>
      </w:r>
      <w:r w:rsidRPr="006849EE">
        <w:rPr>
          <w:rFonts w:asciiTheme="majorHAnsi" w:hAnsiTheme="majorHAnsi" w:cs="Arial"/>
          <w:sz w:val="24"/>
          <w:szCs w:val="24"/>
        </w:rPr>
        <w:t xml:space="preserve"> renewable energy from NTPC Solar, NVVNL Solar, DVC Solar Rooftop (JEM), and through market mechanisms such as the Green Day Ahead Market (GDAM) and Green Term Ahead Market (GTAM). </w:t>
      </w:r>
      <w:r w:rsidR="000F6EA7" w:rsidRPr="006849EE">
        <w:rPr>
          <w:rFonts w:asciiTheme="majorHAnsi" w:hAnsiTheme="majorHAnsi" w:cs="Arial"/>
          <w:sz w:val="24"/>
          <w:szCs w:val="24"/>
        </w:rPr>
        <w:t xml:space="preserve">Further, DVC has </w:t>
      </w:r>
      <w:proofErr w:type="gramStart"/>
      <w:r w:rsidR="000F6EA7" w:rsidRPr="006849EE">
        <w:rPr>
          <w:rFonts w:asciiTheme="majorHAnsi" w:hAnsiTheme="majorHAnsi" w:cs="Arial"/>
          <w:sz w:val="24"/>
          <w:szCs w:val="24"/>
        </w:rPr>
        <w:t>entered into</w:t>
      </w:r>
      <w:proofErr w:type="gramEnd"/>
      <w:r w:rsidR="000F6EA7" w:rsidRPr="006849EE">
        <w:rPr>
          <w:rFonts w:asciiTheme="majorHAnsi" w:hAnsiTheme="majorHAnsi" w:cs="Arial"/>
          <w:sz w:val="24"/>
          <w:szCs w:val="24"/>
        </w:rPr>
        <w:t xml:space="preserve"> new </w:t>
      </w:r>
      <w:r w:rsidR="000F6EA7" w:rsidRPr="006849EE">
        <w:rPr>
          <w:rFonts w:asciiTheme="majorHAnsi" w:hAnsiTheme="majorHAnsi" w:cs="Arial"/>
          <w:sz w:val="24"/>
          <w:szCs w:val="24"/>
        </w:rPr>
        <w:lastRenderedPageBreak/>
        <w:t xml:space="preserve">PPAs for renewable </w:t>
      </w:r>
      <w:r w:rsidR="00F411E2" w:rsidRPr="006849EE">
        <w:rPr>
          <w:rFonts w:asciiTheme="majorHAnsi" w:hAnsiTheme="majorHAnsi" w:cs="Arial"/>
          <w:sz w:val="24"/>
          <w:szCs w:val="24"/>
        </w:rPr>
        <w:t>capacity</w:t>
      </w:r>
      <w:r w:rsidR="000F6EA7" w:rsidRPr="006849EE">
        <w:rPr>
          <w:rFonts w:asciiTheme="majorHAnsi" w:hAnsiTheme="majorHAnsi" w:cs="Arial"/>
          <w:sz w:val="24"/>
          <w:szCs w:val="24"/>
        </w:rPr>
        <w:t>, including:</w:t>
      </w:r>
      <w:r w:rsidR="00793943" w:rsidRPr="006849EE">
        <w:rPr>
          <w:rFonts w:asciiTheme="majorHAnsi" w:hAnsiTheme="majorHAnsi" w:cs="Arial"/>
          <w:sz w:val="24"/>
          <w:szCs w:val="24"/>
        </w:rPr>
        <w:t xml:space="preserve"> </w:t>
      </w:r>
      <w:r w:rsidR="59BDA296" w:rsidRPr="006849EE">
        <w:rPr>
          <w:rFonts w:asciiTheme="majorHAnsi" w:hAnsiTheme="majorHAnsi" w:cs="Arial"/>
          <w:sz w:val="24"/>
          <w:szCs w:val="24"/>
        </w:rPr>
        <w:t>315 MW</w:t>
      </w:r>
      <w:r w:rsidR="000F6EA7" w:rsidRPr="006849EE">
        <w:rPr>
          <w:rFonts w:asciiTheme="majorHAnsi" w:hAnsiTheme="majorHAnsi" w:cs="Arial"/>
          <w:sz w:val="24"/>
          <w:szCs w:val="24"/>
        </w:rPr>
        <w:t xml:space="preserve"> Solar project by NTPC REL at </w:t>
      </w:r>
      <w:proofErr w:type="spellStart"/>
      <w:r w:rsidR="000F6EA7" w:rsidRPr="006849EE">
        <w:rPr>
          <w:rFonts w:asciiTheme="majorHAnsi" w:hAnsiTheme="majorHAnsi" w:cs="Arial"/>
          <w:sz w:val="24"/>
          <w:szCs w:val="24"/>
        </w:rPr>
        <w:t>Khavda</w:t>
      </w:r>
      <w:proofErr w:type="spellEnd"/>
      <w:r w:rsidR="000F6EA7" w:rsidRPr="006849EE">
        <w:rPr>
          <w:rFonts w:asciiTheme="majorHAnsi" w:hAnsiTheme="majorHAnsi" w:cs="Arial"/>
          <w:sz w:val="24"/>
          <w:szCs w:val="24"/>
        </w:rPr>
        <w:t>, Gujarat</w:t>
      </w:r>
      <w:r w:rsidR="00793943" w:rsidRPr="006849EE">
        <w:rPr>
          <w:rFonts w:asciiTheme="majorHAnsi" w:hAnsiTheme="majorHAnsi" w:cs="Arial"/>
          <w:sz w:val="24"/>
          <w:szCs w:val="24"/>
        </w:rPr>
        <w:t xml:space="preserve">; </w:t>
      </w:r>
      <w:r w:rsidR="59BDA296" w:rsidRPr="006849EE">
        <w:rPr>
          <w:rFonts w:asciiTheme="majorHAnsi" w:hAnsiTheme="majorHAnsi" w:cs="Arial"/>
          <w:sz w:val="24"/>
          <w:szCs w:val="24"/>
        </w:rPr>
        <w:t xml:space="preserve">310 MW </w:t>
      </w:r>
      <w:r w:rsidR="3E1827C7" w:rsidRPr="006849EE">
        <w:rPr>
          <w:rFonts w:asciiTheme="majorHAnsi" w:hAnsiTheme="majorHAnsi" w:cs="Arial"/>
          <w:sz w:val="24"/>
          <w:szCs w:val="24"/>
        </w:rPr>
        <w:t>Floating</w:t>
      </w:r>
      <w:r w:rsidR="000F6EA7" w:rsidRPr="006849EE">
        <w:rPr>
          <w:rFonts w:asciiTheme="majorHAnsi" w:hAnsiTheme="majorHAnsi" w:cs="Arial"/>
          <w:sz w:val="24"/>
          <w:szCs w:val="24"/>
        </w:rPr>
        <w:t xml:space="preserve"> Solar projects at </w:t>
      </w:r>
      <w:proofErr w:type="spellStart"/>
      <w:r w:rsidR="000F6EA7" w:rsidRPr="006849EE">
        <w:rPr>
          <w:rFonts w:asciiTheme="majorHAnsi" w:hAnsiTheme="majorHAnsi" w:cs="Arial"/>
          <w:sz w:val="24"/>
          <w:szCs w:val="24"/>
        </w:rPr>
        <w:t>Panchet</w:t>
      </w:r>
      <w:proofErr w:type="spellEnd"/>
      <w:r w:rsidR="000F6EA7" w:rsidRPr="006849EE">
        <w:rPr>
          <w:rFonts w:asciiTheme="majorHAnsi" w:hAnsiTheme="majorHAnsi" w:cs="Arial"/>
          <w:sz w:val="24"/>
          <w:szCs w:val="24"/>
        </w:rPr>
        <w:t xml:space="preserve"> and </w:t>
      </w:r>
      <w:proofErr w:type="spellStart"/>
      <w:r w:rsidR="000F6EA7" w:rsidRPr="006849EE">
        <w:rPr>
          <w:rFonts w:asciiTheme="majorHAnsi" w:hAnsiTheme="majorHAnsi" w:cs="Arial"/>
          <w:sz w:val="24"/>
          <w:szCs w:val="24"/>
        </w:rPr>
        <w:t>Tilaya</w:t>
      </w:r>
      <w:proofErr w:type="spellEnd"/>
      <w:r w:rsidR="00793943" w:rsidRPr="006849EE">
        <w:rPr>
          <w:rFonts w:asciiTheme="majorHAnsi" w:hAnsiTheme="majorHAnsi" w:cs="Arial"/>
          <w:sz w:val="24"/>
          <w:szCs w:val="24"/>
        </w:rPr>
        <w:t xml:space="preserve">; </w:t>
      </w:r>
      <w:r w:rsidR="000F6EA7" w:rsidRPr="006849EE">
        <w:rPr>
          <w:rFonts w:asciiTheme="majorHAnsi" w:hAnsiTheme="majorHAnsi" w:cs="Arial"/>
          <w:sz w:val="24"/>
          <w:szCs w:val="24"/>
        </w:rPr>
        <w:t xml:space="preserve">Projects developed by </w:t>
      </w:r>
      <w:proofErr w:type="spellStart"/>
      <w:r w:rsidR="000F6EA7" w:rsidRPr="006849EE">
        <w:rPr>
          <w:rFonts w:asciiTheme="majorHAnsi" w:hAnsiTheme="majorHAnsi" w:cs="Arial"/>
          <w:sz w:val="24"/>
          <w:szCs w:val="24"/>
        </w:rPr>
        <w:t>Avaada</w:t>
      </w:r>
      <w:proofErr w:type="spellEnd"/>
      <w:r w:rsidR="000F6EA7" w:rsidRPr="006849EE">
        <w:rPr>
          <w:rFonts w:asciiTheme="majorHAnsi" w:hAnsiTheme="majorHAnsi" w:cs="Arial"/>
          <w:sz w:val="24"/>
          <w:szCs w:val="24"/>
        </w:rPr>
        <w:t xml:space="preserve"> </w:t>
      </w:r>
      <w:proofErr w:type="spellStart"/>
      <w:r w:rsidR="000F6EA7" w:rsidRPr="006849EE">
        <w:rPr>
          <w:rFonts w:asciiTheme="majorHAnsi" w:hAnsiTheme="majorHAnsi" w:cs="Arial"/>
          <w:sz w:val="24"/>
          <w:szCs w:val="24"/>
        </w:rPr>
        <w:t>Inclean</w:t>
      </w:r>
      <w:proofErr w:type="spellEnd"/>
      <w:r w:rsidR="000F6EA7" w:rsidRPr="006849EE">
        <w:rPr>
          <w:rFonts w:asciiTheme="majorHAnsi" w:hAnsiTheme="majorHAnsi" w:cs="Arial"/>
          <w:sz w:val="24"/>
          <w:szCs w:val="24"/>
        </w:rPr>
        <w:t xml:space="preserve"> Pvt Ltd, </w:t>
      </w:r>
      <w:proofErr w:type="spellStart"/>
      <w:r w:rsidR="000F6EA7" w:rsidRPr="006849EE">
        <w:rPr>
          <w:rFonts w:asciiTheme="majorHAnsi" w:hAnsiTheme="majorHAnsi" w:cs="Arial"/>
          <w:sz w:val="24"/>
          <w:szCs w:val="24"/>
        </w:rPr>
        <w:t>Avaada</w:t>
      </w:r>
      <w:proofErr w:type="spellEnd"/>
      <w:r w:rsidR="000F6EA7" w:rsidRPr="006849EE">
        <w:rPr>
          <w:rFonts w:asciiTheme="majorHAnsi" w:hAnsiTheme="majorHAnsi" w:cs="Arial"/>
          <w:sz w:val="24"/>
          <w:szCs w:val="24"/>
        </w:rPr>
        <w:t xml:space="preserve"> Pvt Ltd, Renew Power Pvt Ltd</w:t>
      </w:r>
      <w:r w:rsidR="00793943" w:rsidRPr="006849EE">
        <w:rPr>
          <w:rFonts w:asciiTheme="majorHAnsi" w:hAnsiTheme="majorHAnsi" w:cs="Arial"/>
          <w:sz w:val="24"/>
          <w:szCs w:val="24"/>
        </w:rPr>
        <w:t xml:space="preserve">; </w:t>
      </w:r>
      <w:r w:rsidR="59BDA296" w:rsidRPr="006849EE">
        <w:rPr>
          <w:rFonts w:asciiTheme="majorHAnsi" w:hAnsiTheme="majorHAnsi" w:cs="Arial"/>
          <w:sz w:val="24"/>
          <w:szCs w:val="24"/>
        </w:rPr>
        <w:t>250 MW</w:t>
      </w:r>
      <w:r w:rsidR="000F6EA7" w:rsidRPr="006849EE">
        <w:rPr>
          <w:rFonts w:asciiTheme="majorHAnsi" w:hAnsiTheme="majorHAnsi" w:cs="Arial"/>
          <w:sz w:val="24"/>
          <w:szCs w:val="24"/>
        </w:rPr>
        <w:t xml:space="preserve"> Solar capacity by ACME in Rajasthan</w:t>
      </w:r>
      <w:r w:rsidR="00C06676" w:rsidRPr="006849EE">
        <w:rPr>
          <w:rFonts w:asciiTheme="majorHAnsi" w:hAnsiTheme="majorHAnsi" w:cs="Arial"/>
          <w:sz w:val="24"/>
          <w:szCs w:val="24"/>
        </w:rPr>
        <w:t>.</w:t>
      </w:r>
    </w:p>
    <w:p w14:paraId="49E80F44" w14:textId="6FEF8E62" w:rsidR="00DE0596" w:rsidRPr="006849EE" w:rsidRDefault="00DE0596" w:rsidP="00DE0596">
      <w:pPr>
        <w:numPr>
          <w:ilvl w:val="0"/>
          <w:numId w:val="1"/>
        </w:numPr>
        <w:tabs>
          <w:tab w:val="clear" w:pos="1080"/>
          <w:tab w:val="num" w:pos="735"/>
        </w:tabs>
        <w:spacing w:line="360" w:lineRule="auto"/>
        <w:ind w:left="734" w:hanging="735"/>
        <w:jc w:val="both"/>
        <w:rPr>
          <w:rFonts w:asciiTheme="majorHAnsi" w:hAnsiTheme="majorHAnsi" w:cs="Arial"/>
          <w:sz w:val="24"/>
          <w:szCs w:val="24"/>
        </w:rPr>
      </w:pPr>
      <w:r w:rsidRPr="006849EE">
        <w:rPr>
          <w:rFonts w:asciiTheme="majorHAnsi" w:hAnsiTheme="majorHAnsi" w:cs="Arial"/>
          <w:sz w:val="24"/>
          <w:szCs w:val="24"/>
        </w:rPr>
        <w:t xml:space="preserve">In accordance with Note 2 of JSERC (Renewable Energy Purchase Obligation and its Compliance) (Second Amendment) Regulations, 2024, large hydro projects commissioned after 31st March 2024 shall be considered for meeting Hydro Purchase Obligation (HPO). The relevant provision states: </w:t>
      </w:r>
    </w:p>
    <w:p w14:paraId="0D9C567B" w14:textId="379428A5" w:rsidR="009B0755" w:rsidRPr="006849EE" w:rsidRDefault="009B0755" w:rsidP="009B0755">
      <w:pPr>
        <w:spacing w:line="360" w:lineRule="auto"/>
        <w:ind w:left="1440"/>
        <w:jc w:val="both"/>
        <w:rPr>
          <w:rFonts w:asciiTheme="majorHAnsi" w:hAnsiTheme="majorHAnsi" w:cs="Arial"/>
          <w:i/>
          <w:iCs/>
          <w:sz w:val="24"/>
          <w:szCs w:val="24"/>
        </w:rPr>
      </w:pPr>
      <w:r w:rsidRPr="006849EE">
        <w:rPr>
          <w:rFonts w:asciiTheme="majorHAnsi" w:hAnsiTheme="majorHAnsi" w:cs="Arial"/>
          <w:i/>
          <w:iCs/>
          <w:sz w:val="24"/>
          <w:szCs w:val="24"/>
        </w:rPr>
        <w:t xml:space="preserve">“Note </w:t>
      </w:r>
      <w:proofErr w:type="gramStart"/>
      <w:r w:rsidRPr="006849EE">
        <w:rPr>
          <w:rFonts w:asciiTheme="majorHAnsi" w:hAnsiTheme="majorHAnsi" w:cs="Arial"/>
          <w:i/>
          <w:iCs/>
          <w:sz w:val="24"/>
          <w:szCs w:val="24"/>
        </w:rPr>
        <w:t>2:The</w:t>
      </w:r>
      <w:proofErr w:type="gramEnd"/>
      <w:r w:rsidRPr="006849EE">
        <w:rPr>
          <w:rFonts w:asciiTheme="majorHAnsi" w:hAnsiTheme="majorHAnsi" w:cs="Arial"/>
          <w:i/>
          <w:iCs/>
          <w:sz w:val="24"/>
          <w:szCs w:val="24"/>
        </w:rPr>
        <w:t xml:space="preserve"> hydro renewable energy component shall be met only by energy produced from Hydro Power Projects [including Pump Storage Projects (PSPs) and Small Hydro Projects (SHPs)], commissioned after the </w:t>
      </w:r>
      <w:proofErr w:type="gramStart"/>
      <w:r w:rsidRPr="006849EE">
        <w:rPr>
          <w:rFonts w:asciiTheme="majorHAnsi" w:hAnsiTheme="majorHAnsi" w:cs="Arial"/>
          <w:i/>
          <w:iCs/>
          <w:sz w:val="24"/>
          <w:szCs w:val="24"/>
        </w:rPr>
        <w:t>31st</w:t>
      </w:r>
      <w:proofErr w:type="gramEnd"/>
      <w:r w:rsidRPr="006849EE">
        <w:rPr>
          <w:rFonts w:asciiTheme="majorHAnsi" w:hAnsiTheme="majorHAnsi" w:cs="Arial"/>
          <w:i/>
          <w:iCs/>
          <w:sz w:val="24"/>
          <w:szCs w:val="24"/>
        </w:rPr>
        <w:t xml:space="preserve"> </w:t>
      </w:r>
      <w:proofErr w:type="gramStart"/>
      <w:r w:rsidRPr="006849EE">
        <w:rPr>
          <w:rFonts w:asciiTheme="majorHAnsi" w:hAnsiTheme="majorHAnsi" w:cs="Arial"/>
          <w:i/>
          <w:iCs/>
          <w:sz w:val="24"/>
          <w:szCs w:val="24"/>
        </w:rPr>
        <w:t>March,</w:t>
      </w:r>
      <w:proofErr w:type="gramEnd"/>
      <w:r w:rsidRPr="006849EE">
        <w:rPr>
          <w:rFonts w:asciiTheme="majorHAnsi" w:hAnsiTheme="majorHAnsi" w:cs="Arial"/>
          <w:i/>
          <w:iCs/>
          <w:sz w:val="24"/>
          <w:szCs w:val="24"/>
        </w:rPr>
        <w:t xml:space="preserve"> 2024:</w:t>
      </w:r>
    </w:p>
    <w:p w14:paraId="6053D295" w14:textId="77777777" w:rsidR="009B0755" w:rsidRPr="006849EE" w:rsidRDefault="009B0755" w:rsidP="009B0755">
      <w:pPr>
        <w:spacing w:line="360" w:lineRule="auto"/>
        <w:ind w:left="1440"/>
        <w:jc w:val="both"/>
        <w:rPr>
          <w:rFonts w:asciiTheme="majorHAnsi" w:hAnsiTheme="majorHAnsi" w:cs="Arial"/>
          <w:i/>
          <w:iCs/>
          <w:sz w:val="24"/>
          <w:szCs w:val="24"/>
        </w:rPr>
      </w:pPr>
      <w:r w:rsidRPr="006849EE">
        <w:rPr>
          <w:rFonts w:asciiTheme="majorHAnsi" w:hAnsiTheme="majorHAnsi" w:cs="Arial"/>
          <w:i/>
          <w:iCs/>
          <w:sz w:val="24"/>
          <w:szCs w:val="24"/>
        </w:rPr>
        <w:t xml:space="preserve">Provided that the hydro renewable energy component may also be met out of the free power being provided to the State/DISCOM from the Hydro Power Projects commissioned after the </w:t>
      </w:r>
      <w:proofErr w:type="gramStart"/>
      <w:r w:rsidRPr="006849EE">
        <w:rPr>
          <w:rFonts w:asciiTheme="majorHAnsi" w:hAnsiTheme="majorHAnsi" w:cs="Arial"/>
          <w:i/>
          <w:iCs/>
          <w:sz w:val="24"/>
          <w:szCs w:val="24"/>
        </w:rPr>
        <w:t>31st</w:t>
      </w:r>
      <w:proofErr w:type="gramEnd"/>
      <w:r w:rsidRPr="006849EE">
        <w:rPr>
          <w:rFonts w:asciiTheme="majorHAnsi" w:hAnsiTheme="majorHAnsi" w:cs="Arial"/>
          <w:i/>
          <w:iCs/>
          <w:sz w:val="24"/>
          <w:szCs w:val="24"/>
        </w:rPr>
        <w:t xml:space="preserve"> </w:t>
      </w:r>
      <w:proofErr w:type="gramStart"/>
      <w:r w:rsidRPr="006849EE">
        <w:rPr>
          <w:rFonts w:asciiTheme="majorHAnsi" w:hAnsiTheme="majorHAnsi" w:cs="Arial"/>
          <w:i/>
          <w:iCs/>
          <w:sz w:val="24"/>
          <w:szCs w:val="24"/>
        </w:rPr>
        <w:t>March,</w:t>
      </w:r>
      <w:proofErr w:type="gramEnd"/>
      <w:r w:rsidRPr="006849EE">
        <w:rPr>
          <w:rFonts w:asciiTheme="majorHAnsi" w:hAnsiTheme="majorHAnsi" w:cs="Arial"/>
          <w:i/>
          <w:iCs/>
          <w:sz w:val="24"/>
          <w:szCs w:val="24"/>
        </w:rPr>
        <w:t xml:space="preserve"> 2024: </w:t>
      </w:r>
    </w:p>
    <w:p w14:paraId="5AD193BD" w14:textId="22F65CD3" w:rsidR="009B0755" w:rsidRPr="006849EE" w:rsidRDefault="009B0755" w:rsidP="009B0755">
      <w:pPr>
        <w:spacing w:line="360" w:lineRule="auto"/>
        <w:ind w:left="1440"/>
        <w:jc w:val="both"/>
        <w:rPr>
          <w:rFonts w:asciiTheme="majorHAnsi" w:hAnsiTheme="majorHAnsi" w:cs="Arial"/>
          <w:i/>
          <w:iCs/>
          <w:sz w:val="24"/>
          <w:szCs w:val="24"/>
        </w:rPr>
      </w:pPr>
      <w:r w:rsidRPr="006849EE">
        <w:rPr>
          <w:rFonts w:asciiTheme="majorHAnsi" w:hAnsiTheme="majorHAnsi" w:cs="Arial"/>
          <w:i/>
          <w:iCs/>
          <w:sz w:val="24"/>
          <w:szCs w:val="24"/>
        </w:rPr>
        <w:t xml:space="preserve">Provided further that the Hydro Renewable Energy component may also be met from Hydro Power Projects located outside India as approved by the Central Government on a </w:t>
      </w:r>
      <w:proofErr w:type="gramStart"/>
      <w:r w:rsidRPr="006849EE">
        <w:rPr>
          <w:rFonts w:asciiTheme="majorHAnsi" w:hAnsiTheme="majorHAnsi" w:cs="Arial"/>
          <w:i/>
          <w:iCs/>
          <w:sz w:val="24"/>
          <w:szCs w:val="24"/>
        </w:rPr>
        <w:t>case to case</w:t>
      </w:r>
      <w:proofErr w:type="gramEnd"/>
      <w:r w:rsidRPr="006849EE">
        <w:rPr>
          <w:rFonts w:asciiTheme="majorHAnsi" w:hAnsiTheme="majorHAnsi" w:cs="Arial"/>
          <w:i/>
          <w:iCs/>
          <w:sz w:val="24"/>
          <w:szCs w:val="24"/>
        </w:rPr>
        <w:t xml:space="preserve"> basis.”</w:t>
      </w:r>
    </w:p>
    <w:p w14:paraId="3AE008B9" w14:textId="0723AD75" w:rsidR="00A472E0" w:rsidRPr="006849EE" w:rsidRDefault="00A472E0" w:rsidP="00F34FDF">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Accordingly, DVC has projected procurement from upcoming hydroelectric projects of NHPC, including Teesta VI HEP, Parvati II, Kiru HEP, and Rangit IV HEP. A PPA has also been executed for procurement from </w:t>
      </w:r>
      <w:proofErr w:type="spellStart"/>
      <w:r w:rsidRPr="006849EE">
        <w:rPr>
          <w:rFonts w:asciiTheme="majorHAnsi" w:hAnsiTheme="majorHAnsi" w:cs="Arial"/>
          <w:color w:val="auto"/>
          <w:sz w:val="24"/>
          <w:szCs w:val="24"/>
        </w:rPr>
        <w:t>Punatsangchhu</w:t>
      </w:r>
      <w:proofErr w:type="spellEnd"/>
      <w:r w:rsidRPr="006849EE">
        <w:rPr>
          <w:rFonts w:asciiTheme="majorHAnsi" w:hAnsiTheme="majorHAnsi" w:cs="Arial"/>
          <w:color w:val="auto"/>
          <w:sz w:val="24"/>
          <w:szCs w:val="24"/>
        </w:rPr>
        <w:t xml:space="preserve"> II HEP and the 1200 MW Pumped Storage + Solar Project by </w:t>
      </w:r>
      <w:proofErr w:type="spellStart"/>
      <w:r w:rsidRPr="006849EE">
        <w:rPr>
          <w:rFonts w:asciiTheme="majorHAnsi" w:hAnsiTheme="majorHAnsi" w:cs="Arial"/>
          <w:color w:val="auto"/>
          <w:sz w:val="24"/>
          <w:szCs w:val="24"/>
        </w:rPr>
        <w:t>GreenKo</w:t>
      </w:r>
      <w:proofErr w:type="spellEnd"/>
      <w:r w:rsidRPr="006849EE">
        <w:rPr>
          <w:rFonts w:asciiTheme="majorHAnsi" w:hAnsiTheme="majorHAnsi" w:cs="Arial"/>
          <w:color w:val="auto"/>
          <w:sz w:val="24"/>
          <w:szCs w:val="24"/>
        </w:rPr>
        <w:t xml:space="preserve"> at </w:t>
      </w:r>
      <w:proofErr w:type="spellStart"/>
      <w:r w:rsidRPr="006849EE">
        <w:rPr>
          <w:rFonts w:asciiTheme="majorHAnsi" w:hAnsiTheme="majorHAnsi" w:cs="Arial"/>
          <w:color w:val="auto"/>
          <w:sz w:val="24"/>
          <w:szCs w:val="24"/>
        </w:rPr>
        <w:t>Peenapuram</w:t>
      </w:r>
      <w:proofErr w:type="spellEnd"/>
      <w:r w:rsidRPr="006849EE">
        <w:rPr>
          <w:rFonts w:asciiTheme="majorHAnsi" w:hAnsiTheme="majorHAnsi" w:cs="Arial"/>
          <w:color w:val="auto"/>
          <w:sz w:val="24"/>
          <w:szCs w:val="24"/>
        </w:rPr>
        <w:t>/Kurnool, Andhra Pradesh.</w:t>
      </w:r>
      <w:r w:rsidR="00AF1F35" w:rsidRPr="006849EE">
        <w:rPr>
          <w:rFonts w:asciiTheme="majorHAnsi" w:hAnsiTheme="majorHAnsi" w:cs="Arial"/>
          <w:color w:val="auto"/>
          <w:sz w:val="24"/>
          <w:szCs w:val="24"/>
        </w:rPr>
        <w:t xml:space="preserve"> These hydro projects have been duly considered by DVC for meeting its Hydro Purchase Obligation (HPO) in accordance with applicable Regulations.</w:t>
      </w:r>
    </w:p>
    <w:p w14:paraId="1404CBCA" w14:textId="7C9D0D28" w:rsidR="00F34FDF" w:rsidRPr="006849EE" w:rsidRDefault="00A67400" w:rsidP="00F34FDF">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The projections have been made considering the capacity allocated to DVC, design energy in case of hydro, and Capacity Utilization Factor (CUF) for solar/hybrid projects. The per-unit cost of power purchase for different sources has been projected as </w:t>
      </w:r>
      <w:proofErr w:type="gramStart"/>
      <w:r w:rsidRPr="006849EE">
        <w:rPr>
          <w:rFonts w:asciiTheme="majorHAnsi" w:hAnsiTheme="majorHAnsi" w:cs="Arial"/>
          <w:color w:val="auto"/>
          <w:sz w:val="24"/>
          <w:szCs w:val="24"/>
        </w:rPr>
        <w:t>under</w:t>
      </w:r>
      <w:proofErr w:type="gramEnd"/>
      <w:r w:rsidRPr="006849EE">
        <w:rPr>
          <w:rFonts w:asciiTheme="majorHAnsi" w:hAnsiTheme="majorHAnsi" w:cs="Arial"/>
          <w:color w:val="auto"/>
          <w:sz w:val="24"/>
          <w:szCs w:val="24"/>
        </w:rPr>
        <w:t>:</w:t>
      </w:r>
    </w:p>
    <w:p w14:paraId="7A0F0238" w14:textId="495020D5" w:rsidR="00F34FDF" w:rsidRPr="006849EE" w:rsidRDefault="00F34FDF" w:rsidP="00B90377">
      <w:pPr>
        <w:numPr>
          <w:ilvl w:val="0"/>
          <w:numId w:val="13"/>
        </w:numPr>
        <w:spacing w:line="360" w:lineRule="auto"/>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The cost of renewable energy purchased from NTPC Solar, NVVNL Solar, and DVC’s own rooftop solar installations (e.g., JEM) has been considered based on </w:t>
      </w:r>
      <w:r w:rsidR="009D17DC" w:rsidRPr="006849EE">
        <w:rPr>
          <w:rFonts w:asciiTheme="majorHAnsi" w:hAnsiTheme="majorHAnsi" w:cs="Arial"/>
          <w:color w:val="auto"/>
          <w:sz w:val="24"/>
          <w:szCs w:val="24"/>
        </w:rPr>
        <w:t>past trends</w:t>
      </w:r>
      <w:r w:rsidRPr="006849EE">
        <w:rPr>
          <w:rFonts w:asciiTheme="majorHAnsi" w:hAnsiTheme="majorHAnsi" w:cs="Arial"/>
          <w:color w:val="auto"/>
          <w:sz w:val="24"/>
          <w:szCs w:val="24"/>
        </w:rPr>
        <w:t xml:space="preserve">. </w:t>
      </w:r>
    </w:p>
    <w:p w14:paraId="2CD50AC4" w14:textId="7208434F" w:rsidR="00F34FDF" w:rsidRPr="006849EE" w:rsidRDefault="00F34FDF" w:rsidP="00B90377">
      <w:pPr>
        <w:numPr>
          <w:ilvl w:val="0"/>
          <w:numId w:val="13"/>
        </w:numPr>
        <w:spacing w:line="360" w:lineRule="auto"/>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For new </w:t>
      </w:r>
      <w:proofErr w:type="gramStart"/>
      <w:r w:rsidRPr="006849EE">
        <w:rPr>
          <w:rFonts w:asciiTheme="majorHAnsi" w:hAnsiTheme="majorHAnsi" w:cs="Arial"/>
          <w:color w:val="auto"/>
          <w:sz w:val="24"/>
          <w:szCs w:val="24"/>
        </w:rPr>
        <w:t>hydro,</w:t>
      </w:r>
      <w:proofErr w:type="gramEnd"/>
      <w:r w:rsidRPr="006849EE">
        <w:rPr>
          <w:rFonts w:asciiTheme="majorHAnsi" w:hAnsiTheme="majorHAnsi" w:cs="Arial"/>
          <w:color w:val="auto"/>
          <w:sz w:val="24"/>
          <w:szCs w:val="24"/>
        </w:rPr>
        <w:t xml:space="preserve"> </w:t>
      </w:r>
      <w:r w:rsidR="00020C39" w:rsidRPr="006849EE">
        <w:rPr>
          <w:rFonts w:asciiTheme="majorHAnsi" w:hAnsiTheme="majorHAnsi" w:cs="Arial"/>
          <w:color w:val="auto"/>
          <w:sz w:val="24"/>
          <w:szCs w:val="24"/>
        </w:rPr>
        <w:t xml:space="preserve">and </w:t>
      </w:r>
      <w:r w:rsidRPr="006849EE">
        <w:rPr>
          <w:rFonts w:asciiTheme="majorHAnsi" w:hAnsiTheme="majorHAnsi" w:cs="Arial"/>
          <w:color w:val="auto"/>
          <w:sz w:val="24"/>
          <w:szCs w:val="24"/>
        </w:rPr>
        <w:t xml:space="preserve">solar capacities, the expected tariffs have been projected based on appropriate </w:t>
      </w:r>
      <w:r w:rsidR="00FC4A53" w:rsidRPr="006849EE">
        <w:rPr>
          <w:rFonts w:asciiTheme="majorHAnsi" w:hAnsiTheme="majorHAnsi" w:cs="Arial"/>
          <w:color w:val="auto"/>
          <w:sz w:val="24"/>
          <w:szCs w:val="24"/>
        </w:rPr>
        <w:t xml:space="preserve">assumptions </w:t>
      </w:r>
      <w:r w:rsidRPr="006849EE">
        <w:rPr>
          <w:rFonts w:asciiTheme="majorHAnsi" w:hAnsiTheme="majorHAnsi" w:cs="Arial"/>
          <w:color w:val="auto"/>
          <w:sz w:val="24"/>
          <w:szCs w:val="24"/>
        </w:rPr>
        <w:t>and have been claimed accordingly.</w:t>
      </w:r>
    </w:p>
    <w:p w14:paraId="54393B95" w14:textId="4CFD0834" w:rsidR="00B0618F" w:rsidRPr="006849EE" w:rsidRDefault="00F34FDF" w:rsidP="00B90377">
      <w:pPr>
        <w:numPr>
          <w:ilvl w:val="0"/>
          <w:numId w:val="13"/>
        </w:numPr>
        <w:spacing w:line="360" w:lineRule="auto"/>
        <w:jc w:val="both"/>
        <w:rPr>
          <w:rFonts w:asciiTheme="majorHAnsi" w:hAnsiTheme="majorHAnsi" w:cs="Arial"/>
          <w:color w:val="auto"/>
          <w:sz w:val="24"/>
          <w:szCs w:val="24"/>
        </w:rPr>
      </w:pPr>
      <w:r w:rsidRPr="006849EE">
        <w:rPr>
          <w:rFonts w:asciiTheme="majorHAnsi" w:hAnsiTheme="majorHAnsi" w:cs="Arial"/>
          <w:color w:val="auto"/>
          <w:sz w:val="24"/>
          <w:szCs w:val="24"/>
        </w:rPr>
        <w:lastRenderedPageBreak/>
        <w:t>The cost of power procured through market mechanisms such as the Green Day Ahead Market (GDAM) and Green Term Ahead Market (GTAM) has also been projected using suitable escalation assumptions. These projections account for market variability and are based on recent trends in exchange-based renewable energy procurement.</w:t>
      </w:r>
    </w:p>
    <w:p w14:paraId="29151010" w14:textId="77777777" w:rsidR="00EF5A17" w:rsidRPr="006849EE" w:rsidRDefault="00EF5A17" w:rsidP="007D280D">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Along with these renewable power purchases, DVC’s own renewable generation sources have also been considered for meeting the RPO obligations.</w:t>
      </w:r>
    </w:p>
    <w:p w14:paraId="41C82418" w14:textId="242D7D43" w:rsidR="007D280D" w:rsidRPr="006849EE" w:rsidRDefault="007D280D" w:rsidP="007D280D">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The Renewable Purchase Obligations (RPO) of DVC for the entire MYT period in the State of Jharkhand have been considered in line with the presently applicable Regulations notified by this Hon’ble Commission. </w:t>
      </w:r>
    </w:p>
    <w:p w14:paraId="0587900D" w14:textId="4422EF45" w:rsidR="00317B9B" w:rsidRPr="006849EE" w:rsidRDefault="007D280D" w:rsidP="00F0715A">
      <w:pPr>
        <w:numPr>
          <w:ilvl w:val="0"/>
          <w:numId w:val="1"/>
        </w:numPr>
        <w:tabs>
          <w:tab w:val="clear" w:pos="1080"/>
          <w:tab w:val="num" w:pos="735"/>
        </w:tabs>
        <w:spacing w:line="360" w:lineRule="auto"/>
        <w:ind w:left="734" w:hanging="735"/>
        <w:jc w:val="both"/>
        <w:rPr>
          <w:rFonts w:asciiTheme="majorHAnsi" w:hAnsiTheme="majorHAnsi" w:cs="Arial"/>
          <w:color w:val="FF0000"/>
          <w:sz w:val="24"/>
          <w:szCs w:val="24"/>
        </w:rPr>
      </w:pPr>
      <w:r w:rsidRPr="006849EE">
        <w:rPr>
          <w:rFonts w:asciiTheme="majorHAnsi" w:hAnsiTheme="majorHAnsi" w:cs="Arial"/>
          <w:color w:val="auto"/>
          <w:sz w:val="24"/>
          <w:szCs w:val="24"/>
        </w:rPr>
        <w:t>DVC humbly submits before this Hon’ble Commission the detailed calculation of Renewable Purchase Obligation (RPO) for FY 2026–27 to FY 2030–31, prepared in accordance with JSERC (Renewable Energy Purchase Obligation and its Compliance) (Second Amendment) Regulations, 2024</w:t>
      </w:r>
      <w:r w:rsidR="00FC4A53" w:rsidRPr="006849EE">
        <w:rPr>
          <w:rFonts w:asciiTheme="majorHAnsi" w:hAnsiTheme="majorHAnsi" w:cs="Arial"/>
          <w:color w:val="auto"/>
          <w:sz w:val="24"/>
          <w:szCs w:val="24"/>
        </w:rPr>
        <w:t>.</w:t>
      </w:r>
    </w:p>
    <w:p w14:paraId="0C5C5898" w14:textId="2CF59F8E" w:rsidR="00D54E0A" w:rsidRPr="006849EE" w:rsidRDefault="00E97C1E" w:rsidP="00ED752B">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DVC suppl</w:t>
      </w:r>
      <w:r w:rsidR="003D7BC3" w:rsidRPr="006849EE">
        <w:rPr>
          <w:rFonts w:asciiTheme="majorHAnsi" w:hAnsiTheme="majorHAnsi" w:cs="Arial"/>
          <w:color w:val="auto"/>
          <w:sz w:val="24"/>
          <w:szCs w:val="24"/>
        </w:rPr>
        <w:t>y</w:t>
      </w:r>
      <w:r w:rsidRPr="006849EE">
        <w:rPr>
          <w:rFonts w:asciiTheme="majorHAnsi" w:hAnsiTheme="majorHAnsi" w:cs="Arial"/>
          <w:color w:val="auto"/>
          <w:sz w:val="24"/>
          <w:szCs w:val="24"/>
        </w:rPr>
        <w:t xml:space="preserve"> pooled power to its consumers and licensees (receiving power in radial/consumer mode) located within its operational area in both Jharkhand and West Bengal, primarily from its own generating units. The balance demand is met through power purchased from various sources as detailed in the preceding paragraphs. It is respectfully submitted that the projected firm sale to consumers during FY 2026–27 to FY 2030–31 is commensurate with their respective existing contract demand and consumption profile, based on actuals and projected increase in demand using trend analysis of past </w:t>
      </w:r>
      <w:r w:rsidR="004D2326" w:rsidRPr="006849EE">
        <w:rPr>
          <w:rFonts w:asciiTheme="majorHAnsi" w:hAnsiTheme="majorHAnsi" w:cs="Arial"/>
          <w:color w:val="auto"/>
          <w:sz w:val="24"/>
          <w:szCs w:val="24"/>
        </w:rPr>
        <w:t>data</w:t>
      </w:r>
      <w:r w:rsidRPr="006849EE">
        <w:rPr>
          <w:rFonts w:asciiTheme="majorHAnsi" w:hAnsiTheme="majorHAnsi" w:cs="Arial"/>
          <w:color w:val="auto"/>
          <w:sz w:val="24"/>
          <w:szCs w:val="24"/>
        </w:rPr>
        <w:t xml:space="preserve"> for the State of Jharkhand. In addition to organic growth in demand, a significant increase in industrial consumption is anticipated, notably from Steel Authority of India Limited (SAIL) in the Jharkhand region. SAIL has indicated an incremental demand of approximately 490 MW for Jharkhand and West Bengal, which is expected to materially augment overall system demand beyond trend-based projections. </w:t>
      </w:r>
    </w:p>
    <w:p w14:paraId="168B58E7" w14:textId="77777777" w:rsidR="00317B9B" w:rsidRPr="006849EE" w:rsidRDefault="00317B9B" w:rsidP="00702E65">
      <w:pPr>
        <w:pStyle w:val="ListParagraph"/>
        <w:rPr>
          <w:rFonts w:asciiTheme="majorHAnsi" w:hAnsiTheme="majorHAnsi" w:cs="Arial"/>
          <w:color w:val="FF0000"/>
          <w:sz w:val="24"/>
          <w:szCs w:val="24"/>
        </w:rPr>
      </w:pPr>
    </w:p>
    <w:p w14:paraId="492175A0" w14:textId="77777777" w:rsidR="00550FDB" w:rsidRPr="006849EE" w:rsidRDefault="005577BA" w:rsidP="00B90377">
      <w:pPr>
        <w:pStyle w:val="ListParagraph"/>
        <w:numPr>
          <w:ilvl w:val="0"/>
          <w:numId w:val="11"/>
        </w:numPr>
        <w:spacing w:line="360" w:lineRule="auto"/>
        <w:jc w:val="both"/>
        <w:rPr>
          <w:rFonts w:asciiTheme="majorHAnsi" w:hAnsiTheme="majorHAnsi" w:cs="Arial"/>
          <w:color w:val="000000" w:themeColor="text1"/>
          <w:sz w:val="24"/>
          <w:szCs w:val="24"/>
          <w:u w:val="single"/>
        </w:rPr>
      </w:pPr>
      <w:r w:rsidRPr="006849EE">
        <w:rPr>
          <w:rFonts w:asciiTheme="majorHAnsi" w:hAnsiTheme="majorHAnsi" w:cs="Arial"/>
          <w:b/>
          <w:bCs/>
          <w:color w:val="000000" w:themeColor="text1"/>
          <w:sz w:val="24"/>
          <w:szCs w:val="24"/>
          <w:u w:val="single"/>
        </w:rPr>
        <w:t>Inter State Transmission Charges &amp; Other Incidental Charges:</w:t>
      </w:r>
      <w:r w:rsidRPr="006849EE">
        <w:rPr>
          <w:rFonts w:asciiTheme="majorHAnsi" w:hAnsiTheme="majorHAnsi" w:cs="Arial"/>
          <w:color w:val="000000" w:themeColor="text1"/>
          <w:sz w:val="24"/>
          <w:szCs w:val="24"/>
          <w:u w:val="single"/>
        </w:rPr>
        <w:t xml:space="preserve"> </w:t>
      </w:r>
    </w:p>
    <w:p w14:paraId="427B17B6" w14:textId="0AA7C4C9" w:rsidR="004D5ADF" w:rsidRPr="006849EE" w:rsidRDefault="00446F62" w:rsidP="00550FDB">
      <w:pPr>
        <w:numPr>
          <w:ilvl w:val="0"/>
          <w:numId w:val="1"/>
        </w:numPr>
        <w:tabs>
          <w:tab w:val="clear" w:pos="1080"/>
          <w:tab w:val="num" w:pos="735"/>
        </w:tabs>
        <w:spacing w:line="360" w:lineRule="auto"/>
        <w:ind w:left="734" w:hanging="735"/>
        <w:jc w:val="both"/>
        <w:rPr>
          <w:rFonts w:asciiTheme="majorHAnsi" w:hAnsiTheme="majorHAnsi" w:cs="Arial"/>
          <w:color w:val="000000" w:themeColor="text1"/>
          <w:sz w:val="24"/>
          <w:szCs w:val="24"/>
        </w:rPr>
      </w:pPr>
      <w:r w:rsidRPr="006849EE">
        <w:rPr>
          <w:rFonts w:asciiTheme="majorHAnsi" w:hAnsiTheme="majorHAnsi" w:cs="Arial"/>
          <w:color w:val="000000" w:themeColor="text1"/>
          <w:sz w:val="24"/>
          <w:szCs w:val="24"/>
        </w:rPr>
        <w:t xml:space="preserve">DVC </w:t>
      </w:r>
      <w:r w:rsidRPr="006849EE">
        <w:rPr>
          <w:rFonts w:asciiTheme="majorHAnsi" w:hAnsiTheme="majorHAnsi" w:cs="Arial"/>
          <w:color w:val="auto"/>
          <w:sz w:val="24"/>
          <w:szCs w:val="24"/>
        </w:rPr>
        <w:t>avails</w:t>
      </w:r>
      <w:r w:rsidRPr="006849EE">
        <w:rPr>
          <w:rFonts w:asciiTheme="majorHAnsi" w:hAnsiTheme="majorHAnsi" w:cs="Arial"/>
          <w:color w:val="000000" w:themeColor="text1"/>
          <w:sz w:val="24"/>
          <w:szCs w:val="24"/>
        </w:rPr>
        <w:t xml:space="preserve"> the services of the Power Grid Corporation of India Limited (PGCIL) and its subsidiaries for conveyance of electricity from the place of generation of NTPC, NHPC etc. through inter-state transmission for delivery in the DVC Area as per the POC mechanism. DVC also </w:t>
      </w:r>
      <w:proofErr w:type="gramStart"/>
      <w:r w:rsidRPr="006849EE">
        <w:rPr>
          <w:rFonts w:asciiTheme="majorHAnsi" w:hAnsiTheme="majorHAnsi" w:cs="Arial"/>
          <w:color w:val="000000" w:themeColor="text1"/>
          <w:sz w:val="24"/>
          <w:szCs w:val="24"/>
        </w:rPr>
        <w:t>has to</w:t>
      </w:r>
      <w:proofErr w:type="gramEnd"/>
      <w:r w:rsidRPr="006849EE">
        <w:rPr>
          <w:rFonts w:asciiTheme="majorHAnsi" w:hAnsiTheme="majorHAnsi" w:cs="Arial"/>
          <w:color w:val="000000" w:themeColor="text1"/>
          <w:sz w:val="24"/>
          <w:szCs w:val="24"/>
        </w:rPr>
        <w:t xml:space="preserve"> pay for the ULDC scheme installed by PGCIL to </w:t>
      </w:r>
      <w:r w:rsidRPr="006849EE">
        <w:rPr>
          <w:rFonts w:asciiTheme="majorHAnsi" w:hAnsiTheme="majorHAnsi" w:cs="Arial"/>
          <w:color w:val="000000" w:themeColor="text1"/>
          <w:sz w:val="24"/>
          <w:szCs w:val="24"/>
        </w:rPr>
        <w:lastRenderedPageBreak/>
        <w:t xml:space="preserve">facilitate load dispatch activities by RLDCs. The charges paid by DVC to PGCIL, and other incidental charges paid by DVC </w:t>
      </w:r>
      <w:proofErr w:type="gramStart"/>
      <w:r w:rsidRPr="006849EE">
        <w:rPr>
          <w:rFonts w:asciiTheme="majorHAnsi" w:hAnsiTheme="majorHAnsi" w:cs="Arial"/>
          <w:color w:val="000000" w:themeColor="text1"/>
          <w:sz w:val="24"/>
          <w:szCs w:val="24"/>
        </w:rPr>
        <w:t>becomes</w:t>
      </w:r>
      <w:proofErr w:type="gramEnd"/>
      <w:r w:rsidRPr="006849EE">
        <w:rPr>
          <w:rFonts w:asciiTheme="majorHAnsi" w:hAnsiTheme="majorHAnsi" w:cs="Arial"/>
          <w:color w:val="000000" w:themeColor="text1"/>
          <w:sz w:val="24"/>
          <w:szCs w:val="24"/>
        </w:rPr>
        <w:t xml:space="preserve"> an input cost for the purpose of deciding the retail supply tariff for sale and supply of electricity by DVC to consumers in the Damodar Valley area. Transmission and other incidental charges payable to PGCIL and other Transmission utilities for FY 202</w:t>
      </w:r>
      <w:r w:rsidR="00A26036" w:rsidRPr="006849EE">
        <w:rPr>
          <w:rFonts w:asciiTheme="majorHAnsi" w:hAnsiTheme="majorHAnsi" w:cs="Arial"/>
          <w:color w:val="000000" w:themeColor="text1"/>
          <w:sz w:val="24"/>
          <w:szCs w:val="24"/>
        </w:rPr>
        <w:t>6-27 to FY 2030-31</w:t>
      </w:r>
      <w:r w:rsidRPr="006849EE">
        <w:rPr>
          <w:rFonts w:asciiTheme="majorHAnsi" w:hAnsiTheme="majorHAnsi" w:cs="Arial"/>
          <w:color w:val="000000" w:themeColor="text1"/>
          <w:sz w:val="24"/>
          <w:szCs w:val="24"/>
        </w:rPr>
        <w:t xml:space="preserve"> </w:t>
      </w:r>
      <w:proofErr w:type="gramStart"/>
      <w:r w:rsidRPr="006849EE">
        <w:rPr>
          <w:rFonts w:asciiTheme="majorHAnsi" w:hAnsiTheme="majorHAnsi" w:cs="Arial"/>
          <w:color w:val="000000" w:themeColor="text1"/>
          <w:sz w:val="24"/>
          <w:szCs w:val="24"/>
        </w:rPr>
        <w:t>has</w:t>
      </w:r>
      <w:proofErr w:type="gramEnd"/>
      <w:r w:rsidRPr="006849EE">
        <w:rPr>
          <w:rFonts w:asciiTheme="majorHAnsi" w:hAnsiTheme="majorHAnsi" w:cs="Arial"/>
          <w:color w:val="000000" w:themeColor="text1"/>
          <w:sz w:val="24"/>
          <w:szCs w:val="24"/>
        </w:rPr>
        <w:t xml:space="preserve"> been projected considering 2% escalation factor from the actual cost of FY 202</w:t>
      </w:r>
      <w:r w:rsidR="00A26036" w:rsidRPr="006849EE">
        <w:rPr>
          <w:rFonts w:asciiTheme="majorHAnsi" w:hAnsiTheme="majorHAnsi" w:cs="Arial"/>
          <w:color w:val="000000" w:themeColor="text1"/>
          <w:sz w:val="24"/>
          <w:szCs w:val="24"/>
        </w:rPr>
        <w:t>4</w:t>
      </w:r>
      <w:r w:rsidRPr="006849EE">
        <w:rPr>
          <w:rFonts w:asciiTheme="majorHAnsi" w:hAnsiTheme="majorHAnsi" w:cs="Arial"/>
          <w:color w:val="000000" w:themeColor="text1"/>
          <w:sz w:val="24"/>
          <w:szCs w:val="24"/>
        </w:rPr>
        <w:t>-2</w:t>
      </w:r>
      <w:r w:rsidR="00A26036" w:rsidRPr="006849EE">
        <w:rPr>
          <w:rFonts w:asciiTheme="majorHAnsi" w:hAnsiTheme="majorHAnsi" w:cs="Arial"/>
          <w:color w:val="000000" w:themeColor="text1"/>
          <w:sz w:val="24"/>
          <w:szCs w:val="24"/>
        </w:rPr>
        <w:t>5</w:t>
      </w:r>
      <w:r w:rsidR="00072F9A" w:rsidRPr="006849EE">
        <w:rPr>
          <w:rFonts w:asciiTheme="majorHAnsi" w:hAnsiTheme="majorHAnsi" w:cs="Arial"/>
          <w:color w:val="000000" w:themeColor="text1"/>
          <w:sz w:val="24"/>
          <w:szCs w:val="24"/>
        </w:rPr>
        <w:t>.</w:t>
      </w:r>
    </w:p>
    <w:p w14:paraId="25002A75" w14:textId="77777777" w:rsidR="00550FDB" w:rsidRPr="006849EE" w:rsidRDefault="00550FDB" w:rsidP="00550FDB">
      <w:pPr>
        <w:spacing w:line="360" w:lineRule="auto"/>
        <w:ind w:left="734"/>
        <w:jc w:val="both"/>
        <w:rPr>
          <w:rFonts w:asciiTheme="majorHAnsi" w:hAnsiTheme="majorHAnsi" w:cs="Arial"/>
          <w:color w:val="000000" w:themeColor="text1"/>
          <w:sz w:val="24"/>
          <w:szCs w:val="24"/>
        </w:rPr>
      </w:pPr>
    </w:p>
    <w:p w14:paraId="5E8055F7" w14:textId="0BDE4F9F" w:rsidR="004D5ADF" w:rsidRPr="006849EE" w:rsidRDefault="004D5ADF" w:rsidP="00B90377">
      <w:pPr>
        <w:pStyle w:val="ListParagraph"/>
        <w:numPr>
          <w:ilvl w:val="0"/>
          <w:numId w:val="11"/>
        </w:numPr>
        <w:spacing w:line="360" w:lineRule="auto"/>
        <w:jc w:val="both"/>
        <w:rPr>
          <w:rFonts w:asciiTheme="majorHAnsi" w:hAnsiTheme="majorHAnsi" w:cs="Arial"/>
          <w:color w:val="000000" w:themeColor="text1"/>
          <w:sz w:val="24"/>
          <w:szCs w:val="24"/>
        </w:rPr>
      </w:pPr>
      <w:r w:rsidRPr="006849EE">
        <w:rPr>
          <w:rFonts w:asciiTheme="majorHAnsi" w:hAnsiTheme="majorHAnsi" w:cs="Arial"/>
          <w:b/>
          <w:bCs/>
          <w:color w:val="auto"/>
          <w:sz w:val="24"/>
          <w:szCs w:val="24"/>
          <w:u w:val="single"/>
        </w:rPr>
        <w:t>AMC Charges for ULDC scheme</w:t>
      </w:r>
    </w:p>
    <w:p w14:paraId="40832DD9" w14:textId="6EAC7441" w:rsidR="004D5ADF" w:rsidRPr="006849EE" w:rsidRDefault="004D5ADF" w:rsidP="00910FC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In addition to above, DVC is also paying the charges pertaining to Annual Maintenance Contract (AMC) given to PGCIL for maintenance of the hardware installed by PGCIL in the DVC periphery under the ULDC scheme in Eastern region. DVC is paying the AMC Charges separately to PGCIL and other vendors in line with the CERC order </w:t>
      </w:r>
      <w:proofErr w:type="spellStart"/>
      <w:r w:rsidRPr="006849EE">
        <w:rPr>
          <w:rFonts w:asciiTheme="majorHAnsi" w:hAnsiTheme="majorHAnsi" w:cs="Arial"/>
          <w:color w:val="auto"/>
          <w:sz w:val="24"/>
          <w:szCs w:val="24"/>
        </w:rPr>
        <w:t>dtd</w:t>
      </w:r>
      <w:proofErr w:type="spellEnd"/>
      <w:r w:rsidRPr="006849EE">
        <w:rPr>
          <w:rFonts w:asciiTheme="majorHAnsi" w:hAnsiTheme="majorHAnsi" w:cs="Arial"/>
          <w:color w:val="auto"/>
          <w:sz w:val="24"/>
          <w:szCs w:val="24"/>
        </w:rPr>
        <w:t xml:space="preserve">. 14.12.2017 (petition no. 232/TT/2016) </w:t>
      </w:r>
      <w:r w:rsidRPr="006849EE">
        <w:rPr>
          <w:rFonts w:asciiTheme="majorHAnsi" w:hAnsiTheme="majorHAnsi" w:cs="Arial"/>
          <w:bCs/>
          <w:color w:val="auto"/>
          <w:sz w:val="24"/>
          <w:szCs w:val="24"/>
        </w:rPr>
        <w:t xml:space="preserve">in </w:t>
      </w:r>
      <w:r w:rsidRPr="006849EE">
        <w:rPr>
          <w:rFonts w:asciiTheme="majorHAnsi" w:hAnsiTheme="majorHAnsi" w:cs="Arial"/>
          <w:color w:val="auto"/>
          <w:sz w:val="24"/>
          <w:szCs w:val="24"/>
        </w:rPr>
        <w:t xml:space="preserve">which PGCIL submitted that AMC of SCADA/EMS systems established under ULDC Scheme for all the constituents is the responsibility of the respective SLDCs in line with the ER-ULDC project and therefore no claim under O&amp;M expenses has been charged for the same while determination of tariff by CERC. </w:t>
      </w:r>
      <w:r w:rsidRPr="006849EE">
        <w:rPr>
          <w:rFonts w:asciiTheme="majorHAnsi" w:hAnsiTheme="majorHAnsi" w:cs="Arial"/>
          <w:bCs/>
          <w:color w:val="auto"/>
          <w:sz w:val="24"/>
          <w:szCs w:val="24"/>
        </w:rPr>
        <w:t>As such, the Central Electricity Regulatory Commission has not allowed any expense under O&amp;M charges of ULDC assets</w:t>
      </w:r>
      <w:r w:rsidRPr="006849EE">
        <w:rPr>
          <w:rFonts w:asciiTheme="majorHAnsi" w:hAnsiTheme="majorHAnsi" w:cs="Arial"/>
          <w:color w:val="auto"/>
          <w:sz w:val="24"/>
          <w:szCs w:val="24"/>
        </w:rPr>
        <w:t xml:space="preserve"> in the mentioned tariff orders. </w:t>
      </w:r>
      <w:r w:rsidRPr="006849EE">
        <w:rPr>
          <w:rFonts w:asciiTheme="majorHAnsi" w:hAnsiTheme="majorHAnsi" w:cs="Arial"/>
          <w:bCs/>
          <w:color w:val="auto"/>
          <w:sz w:val="24"/>
          <w:szCs w:val="24"/>
        </w:rPr>
        <w:t>Accordingly, DVC pays the AMC charges to PGCIL and other vendors for maintenance of the communication scheme established under the ULDC scheme as mentioned above under the existing contract agreement for such work.</w:t>
      </w:r>
    </w:p>
    <w:p w14:paraId="0382B67A" w14:textId="497043EB" w:rsidR="004D5ADF" w:rsidRPr="006849EE" w:rsidRDefault="004D5ADF" w:rsidP="00B97F47">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bCs/>
          <w:color w:val="auto"/>
          <w:sz w:val="24"/>
          <w:szCs w:val="24"/>
        </w:rPr>
        <w:t xml:space="preserve">Thus, DVC has considered the AMC charge for the ULDC scheme for </w:t>
      </w:r>
      <w:r w:rsidR="00B97F47" w:rsidRPr="006849EE">
        <w:rPr>
          <w:rFonts w:asciiTheme="majorHAnsi" w:hAnsiTheme="majorHAnsi" w:cs="Arial"/>
          <w:bCs/>
          <w:color w:val="auto"/>
          <w:sz w:val="24"/>
          <w:szCs w:val="24"/>
        </w:rPr>
        <w:t xml:space="preserve">the control period </w:t>
      </w:r>
      <w:r w:rsidRPr="006849EE">
        <w:rPr>
          <w:rFonts w:asciiTheme="majorHAnsi" w:hAnsiTheme="majorHAnsi" w:cs="Arial"/>
          <w:bCs/>
          <w:color w:val="auto"/>
          <w:sz w:val="24"/>
          <w:szCs w:val="24"/>
        </w:rPr>
        <w:t>FY 202</w:t>
      </w:r>
      <w:r w:rsidR="00B97F47" w:rsidRPr="006849EE">
        <w:rPr>
          <w:rFonts w:asciiTheme="majorHAnsi" w:hAnsiTheme="majorHAnsi" w:cs="Arial"/>
          <w:bCs/>
          <w:color w:val="auto"/>
          <w:sz w:val="24"/>
          <w:szCs w:val="24"/>
        </w:rPr>
        <w:t>6-27 to FY 2030-31</w:t>
      </w:r>
      <w:r w:rsidRPr="006849EE">
        <w:rPr>
          <w:rFonts w:asciiTheme="majorHAnsi" w:hAnsiTheme="majorHAnsi" w:cs="Arial"/>
          <w:bCs/>
          <w:color w:val="auto"/>
          <w:sz w:val="24"/>
          <w:szCs w:val="24"/>
        </w:rPr>
        <w:t xml:space="preserve"> based on actual charges paid during FY 202</w:t>
      </w:r>
      <w:r w:rsidR="00B97F47" w:rsidRPr="006849EE">
        <w:rPr>
          <w:rFonts w:asciiTheme="majorHAnsi" w:hAnsiTheme="majorHAnsi" w:cs="Arial"/>
          <w:bCs/>
          <w:color w:val="auto"/>
          <w:sz w:val="24"/>
          <w:szCs w:val="24"/>
        </w:rPr>
        <w:t>4</w:t>
      </w:r>
      <w:r w:rsidRPr="006849EE">
        <w:rPr>
          <w:rFonts w:asciiTheme="majorHAnsi" w:hAnsiTheme="majorHAnsi" w:cs="Arial"/>
          <w:bCs/>
          <w:color w:val="auto"/>
          <w:sz w:val="24"/>
          <w:szCs w:val="24"/>
        </w:rPr>
        <w:t>-2</w:t>
      </w:r>
      <w:r w:rsidR="00B97F47" w:rsidRPr="006849EE">
        <w:rPr>
          <w:rFonts w:asciiTheme="majorHAnsi" w:hAnsiTheme="majorHAnsi" w:cs="Arial"/>
          <w:bCs/>
          <w:color w:val="auto"/>
          <w:sz w:val="24"/>
          <w:szCs w:val="24"/>
        </w:rPr>
        <w:t>5</w:t>
      </w:r>
      <w:r w:rsidRPr="006849EE">
        <w:rPr>
          <w:rFonts w:asciiTheme="majorHAnsi" w:hAnsiTheme="majorHAnsi" w:cs="Arial"/>
          <w:bCs/>
          <w:color w:val="auto"/>
          <w:sz w:val="24"/>
          <w:szCs w:val="24"/>
        </w:rPr>
        <w:t xml:space="preserve"> with </w:t>
      </w:r>
      <w:r w:rsidR="00236DBC" w:rsidRPr="006849EE">
        <w:rPr>
          <w:rFonts w:asciiTheme="majorHAnsi" w:hAnsiTheme="majorHAnsi" w:cs="Arial"/>
          <w:bCs/>
          <w:color w:val="auto"/>
          <w:sz w:val="24"/>
          <w:szCs w:val="24"/>
        </w:rPr>
        <w:t>2</w:t>
      </w:r>
      <w:r w:rsidRPr="006849EE">
        <w:rPr>
          <w:rFonts w:asciiTheme="majorHAnsi" w:hAnsiTheme="majorHAnsi" w:cs="Arial"/>
          <w:bCs/>
          <w:color w:val="auto"/>
          <w:sz w:val="24"/>
          <w:szCs w:val="24"/>
        </w:rPr>
        <w:t xml:space="preserve">% escalation considered for </w:t>
      </w:r>
      <w:r w:rsidR="00236DBC" w:rsidRPr="006849EE">
        <w:rPr>
          <w:rFonts w:asciiTheme="majorHAnsi" w:hAnsiTheme="majorHAnsi" w:cs="Arial"/>
          <w:bCs/>
          <w:color w:val="auto"/>
          <w:sz w:val="24"/>
          <w:szCs w:val="24"/>
        </w:rPr>
        <w:t>each year from the base year</w:t>
      </w:r>
      <w:r w:rsidRPr="006849EE">
        <w:rPr>
          <w:rFonts w:asciiTheme="majorHAnsi" w:eastAsiaTheme="majorEastAsia" w:hAnsiTheme="majorHAnsi" w:cs="Arial"/>
          <w:color w:val="auto"/>
          <w:sz w:val="24"/>
          <w:szCs w:val="24"/>
        </w:rPr>
        <w:t xml:space="preserve">. </w:t>
      </w:r>
    </w:p>
    <w:p w14:paraId="57162F9F" w14:textId="77777777" w:rsidR="006570FC" w:rsidRPr="006849EE" w:rsidRDefault="006570FC" w:rsidP="006570FC">
      <w:pPr>
        <w:pStyle w:val="ListParagraph"/>
        <w:rPr>
          <w:rFonts w:asciiTheme="majorHAnsi" w:hAnsiTheme="majorHAnsi" w:cs="Arial"/>
          <w:color w:val="auto"/>
          <w:sz w:val="24"/>
          <w:szCs w:val="24"/>
        </w:rPr>
      </w:pPr>
    </w:p>
    <w:p w14:paraId="7F9B3DEA" w14:textId="77777777" w:rsidR="00F15117" w:rsidRPr="006849EE" w:rsidRDefault="00F15117" w:rsidP="00B90377">
      <w:pPr>
        <w:pStyle w:val="ListParagraph"/>
        <w:numPr>
          <w:ilvl w:val="0"/>
          <w:numId w:val="11"/>
        </w:numPr>
        <w:spacing w:line="360" w:lineRule="auto"/>
        <w:jc w:val="both"/>
        <w:rPr>
          <w:rFonts w:asciiTheme="majorHAnsi" w:eastAsiaTheme="majorEastAsia" w:hAnsiTheme="majorHAnsi" w:cs="Arial"/>
          <w:color w:val="auto"/>
          <w:sz w:val="24"/>
          <w:szCs w:val="24"/>
          <w:u w:val="single"/>
        </w:rPr>
      </w:pPr>
      <w:r w:rsidRPr="006849EE">
        <w:rPr>
          <w:rFonts w:asciiTheme="majorHAnsi" w:eastAsiaTheme="majorEastAsia" w:hAnsiTheme="majorHAnsi" w:cs="Arial"/>
          <w:b/>
          <w:bCs/>
          <w:color w:val="auto"/>
          <w:sz w:val="24"/>
          <w:szCs w:val="24"/>
          <w:u w:val="single"/>
        </w:rPr>
        <w:t xml:space="preserve">Cost of 11 kV </w:t>
      </w:r>
      <w:r w:rsidRPr="006849EE">
        <w:rPr>
          <w:rFonts w:asciiTheme="majorHAnsi" w:hAnsiTheme="majorHAnsi" w:cs="Arial"/>
          <w:b/>
          <w:bCs/>
          <w:color w:val="auto"/>
          <w:sz w:val="24"/>
          <w:szCs w:val="24"/>
          <w:u w:val="single"/>
        </w:rPr>
        <w:t>distribution</w:t>
      </w:r>
      <w:r w:rsidRPr="006849EE">
        <w:rPr>
          <w:rFonts w:asciiTheme="majorHAnsi" w:eastAsiaTheme="majorEastAsia" w:hAnsiTheme="majorHAnsi" w:cs="Arial"/>
          <w:b/>
          <w:bCs/>
          <w:color w:val="auto"/>
          <w:sz w:val="24"/>
          <w:szCs w:val="24"/>
          <w:u w:val="single"/>
        </w:rPr>
        <w:t xml:space="preserve"> infrastructure</w:t>
      </w:r>
    </w:p>
    <w:p w14:paraId="3FB862EA" w14:textId="77777777" w:rsidR="00016BD7" w:rsidRPr="006849EE" w:rsidRDefault="00016BD7" w:rsidP="00016BD7">
      <w:pPr>
        <w:spacing w:line="360" w:lineRule="auto"/>
        <w:jc w:val="both"/>
        <w:rPr>
          <w:rFonts w:asciiTheme="majorHAnsi" w:eastAsiaTheme="majorEastAsia" w:hAnsiTheme="majorHAnsi" w:cs="Arial"/>
          <w:color w:val="auto"/>
          <w:sz w:val="24"/>
          <w:szCs w:val="24"/>
          <w:u w:val="single"/>
        </w:rPr>
      </w:pPr>
    </w:p>
    <w:p w14:paraId="410337FC"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It is </w:t>
      </w:r>
      <w:r w:rsidRPr="006849EE">
        <w:rPr>
          <w:rFonts w:asciiTheme="majorHAnsi" w:hAnsiTheme="majorHAnsi" w:cs="Arial"/>
          <w:bCs/>
          <w:color w:val="auto"/>
          <w:sz w:val="24"/>
          <w:szCs w:val="24"/>
        </w:rPr>
        <w:t>submitted</w:t>
      </w:r>
      <w:r w:rsidRPr="006849EE">
        <w:rPr>
          <w:rFonts w:asciiTheme="majorHAnsi" w:hAnsiTheme="majorHAnsi" w:cs="Arial"/>
          <w:color w:val="auto"/>
          <w:sz w:val="24"/>
          <w:szCs w:val="24"/>
        </w:rPr>
        <w:t xml:space="preserve"> that, in terms of Section 43 of the Electricity Act, 2003, DVC, as a distribution licensee, is under a statutory obligation to provide electricity supply to any applicant upon receipt of a complete and valid application. This mandate requires the licensee to create, augment, or extend the necessary distribution infrastructure including 11 kV networks, wherever such development is required </w:t>
      </w:r>
      <w:r w:rsidRPr="006849EE">
        <w:rPr>
          <w:rFonts w:asciiTheme="majorHAnsi" w:hAnsiTheme="majorHAnsi" w:cs="Arial"/>
          <w:color w:val="auto"/>
          <w:sz w:val="24"/>
          <w:szCs w:val="24"/>
        </w:rPr>
        <w:lastRenderedPageBreak/>
        <w:t xml:space="preserve">to meet consumer demand. Accordingly, when consumers within the Jharkhand command area seek supply at the 11 kV voltage level, DVC is duty-bound to develop the requisite 11 kV distribution system to ensure compliance with this statutory requirement. </w:t>
      </w:r>
    </w:p>
    <w:p w14:paraId="3387A127"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During the public hearings held on 03.09.2024 and 04.09.2024 for the True-up of FY 2023-24, several consumers and industrial stakeholders expressed a clear and substantial interest in availing power supply from DVC at the 11 kV voltage level. Multiple written representations have also been submitted by these consumers requesting 11 kV supply from DVC, thereby reinforcing the actual and emerging demand for such infrastructure in the Jharkhand command area. </w:t>
      </w:r>
    </w:p>
    <w:p w14:paraId="753E3081" w14:textId="0389817E" w:rsidR="00016BD7" w:rsidRPr="006849EE" w:rsidRDefault="7FA94554" w:rsidP="000267F9">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As </w:t>
      </w:r>
      <w:r w:rsidR="00016BD7" w:rsidRPr="006849EE">
        <w:rPr>
          <w:rFonts w:asciiTheme="majorHAnsi" w:eastAsiaTheme="majorEastAsia" w:hAnsiTheme="majorHAnsi" w:cs="Arial"/>
          <w:color w:val="auto"/>
          <w:sz w:val="24"/>
          <w:szCs w:val="24"/>
        </w:rPr>
        <w:t>mandate</w:t>
      </w:r>
      <w:r w:rsidR="7F1FCC91" w:rsidRPr="006849EE">
        <w:rPr>
          <w:rFonts w:asciiTheme="majorHAnsi" w:eastAsiaTheme="majorEastAsia" w:hAnsiTheme="majorHAnsi" w:cs="Arial"/>
          <w:color w:val="auto"/>
          <w:sz w:val="24"/>
          <w:szCs w:val="24"/>
        </w:rPr>
        <w:t>d</w:t>
      </w:r>
      <w:r w:rsidR="00016BD7" w:rsidRPr="006849EE">
        <w:rPr>
          <w:rFonts w:asciiTheme="majorHAnsi" w:eastAsiaTheme="majorEastAsia" w:hAnsiTheme="majorHAnsi" w:cs="Arial"/>
          <w:color w:val="auto"/>
          <w:sz w:val="24"/>
          <w:szCs w:val="24"/>
        </w:rPr>
        <w:t xml:space="preserve"> under Section </w:t>
      </w:r>
      <w:proofErr w:type="gramStart"/>
      <w:r w:rsidR="00016BD7" w:rsidRPr="006849EE">
        <w:rPr>
          <w:rFonts w:asciiTheme="majorHAnsi" w:eastAsiaTheme="majorEastAsia" w:hAnsiTheme="majorHAnsi" w:cs="Arial"/>
          <w:color w:val="auto"/>
          <w:sz w:val="24"/>
          <w:szCs w:val="24"/>
        </w:rPr>
        <w:t xml:space="preserve">43 </w:t>
      </w:r>
      <w:r w:rsidR="256570D9" w:rsidRPr="006849EE">
        <w:rPr>
          <w:rFonts w:asciiTheme="majorHAnsi" w:eastAsiaTheme="majorEastAsia" w:hAnsiTheme="majorHAnsi" w:cs="Arial"/>
          <w:color w:val="auto"/>
          <w:sz w:val="24"/>
          <w:szCs w:val="24"/>
        </w:rPr>
        <w:t>,</w:t>
      </w:r>
      <w:proofErr w:type="gramEnd"/>
      <w:r w:rsidR="256570D9" w:rsidRPr="006849EE">
        <w:rPr>
          <w:rFonts w:asciiTheme="majorHAnsi" w:eastAsiaTheme="majorEastAsia" w:hAnsiTheme="majorHAnsi" w:cs="Arial"/>
          <w:color w:val="auto"/>
          <w:sz w:val="24"/>
          <w:szCs w:val="24"/>
        </w:rPr>
        <w:t xml:space="preserve"> DVC is bound to supply </w:t>
      </w:r>
      <w:r w:rsidR="416B0B46" w:rsidRPr="006849EE">
        <w:rPr>
          <w:rFonts w:asciiTheme="majorHAnsi" w:eastAsiaTheme="majorEastAsia" w:hAnsiTheme="majorHAnsi" w:cs="Arial"/>
          <w:color w:val="auto"/>
          <w:sz w:val="24"/>
          <w:szCs w:val="24"/>
        </w:rPr>
        <w:t xml:space="preserve">electricity </w:t>
      </w:r>
      <w:r w:rsidR="256570D9" w:rsidRPr="006849EE">
        <w:rPr>
          <w:rFonts w:asciiTheme="majorHAnsi" w:eastAsiaTheme="majorEastAsia" w:hAnsiTheme="majorHAnsi" w:cs="Arial"/>
          <w:color w:val="auto"/>
          <w:sz w:val="24"/>
          <w:szCs w:val="24"/>
        </w:rPr>
        <w:t>a</w:t>
      </w:r>
      <w:r w:rsidR="6632C785" w:rsidRPr="006849EE">
        <w:rPr>
          <w:rFonts w:asciiTheme="majorHAnsi" w:eastAsiaTheme="majorEastAsia" w:hAnsiTheme="majorHAnsi" w:cs="Arial"/>
          <w:color w:val="auto"/>
          <w:sz w:val="24"/>
          <w:szCs w:val="24"/>
        </w:rPr>
        <w:t xml:space="preserve">t the 11KV voltage level </w:t>
      </w:r>
      <w:proofErr w:type="gramStart"/>
      <w:r w:rsidR="6632C785" w:rsidRPr="006849EE">
        <w:rPr>
          <w:rFonts w:asciiTheme="majorHAnsi" w:eastAsiaTheme="majorEastAsia" w:hAnsiTheme="majorHAnsi" w:cs="Arial"/>
          <w:color w:val="auto"/>
          <w:sz w:val="24"/>
          <w:szCs w:val="24"/>
        </w:rPr>
        <w:t xml:space="preserve">to </w:t>
      </w:r>
      <w:r w:rsidR="72D7A4D1" w:rsidRPr="006849EE">
        <w:rPr>
          <w:rFonts w:asciiTheme="majorHAnsi" w:eastAsiaTheme="majorEastAsia" w:hAnsiTheme="majorHAnsi" w:cs="Arial"/>
          <w:color w:val="auto"/>
          <w:sz w:val="24"/>
          <w:szCs w:val="24"/>
        </w:rPr>
        <w:t xml:space="preserve"> consumers</w:t>
      </w:r>
      <w:proofErr w:type="gramEnd"/>
      <w:r w:rsidR="72D7A4D1" w:rsidRPr="006849EE">
        <w:rPr>
          <w:rFonts w:asciiTheme="majorHAnsi" w:eastAsiaTheme="majorEastAsia" w:hAnsiTheme="majorHAnsi" w:cs="Arial"/>
          <w:color w:val="auto"/>
          <w:sz w:val="24"/>
          <w:szCs w:val="24"/>
        </w:rPr>
        <w:t xml:space="preserve"> </w:t>
      </w:r>
      <w:r w:rsidR="380FA6B5" w:rsidRPr="006849EE">
        <w:rPr>
          <w:rFonts w:asciiTheme="majorHAnsi" w:eastAsiaTheme="majorEastAsia" w:hAnsiTheme="majorHAnsi" w:cs="Arial"/>
          <w:color w:val="auto"/>
          <w:sz w:val="24"/>
          <w:szCs w:val="24"/>
        </w:rPr>
        <w:t xml:space="preserve">in the Jharkhand command area whenever such supply is requested by the consumers. </w:t>
      </w:r>
      <w:r w:rsidR="4BBDA261" w:rsidRPr="006849EE">
        <w:rPr>
          <w:rFonts w:asciiTheme="majorHAnsi" w:eastAsiaTheme="majorEastAsia" w:hAnsiTheme="majorHAnsi" w:cs="Arial"/>
          <w:color w:val="auto"/>
          <w:sz w:val="24"/>
          <w:szCs w:val="24"/>
        </w:rPr>
        <w:t>Consequently,</w:t>
      </w:r>
      <w:r w:rsidR="00016BD7" w:rsidRPr="006849EE">
        <w:rPr>
          <w:rFonts w:asciiTheme="majorHAnsi" w:eastAsiaTheme="majorEastAsia" w:hAnsiTheme="majorHAnsi" w:cs="Arial"/>
          <w:color w:val="auto"/>
          <w:sz w:val="24"/>
          <w:szCs w:val="24"/>
        </w:rPr>
        <w:t xml:space="preserve"> the distribution licensee </w:t>
      </w:r>
      <w:r w:rsidR="31078599" w:rsidRPr="006849EE">
        <w:rPr>
          <w:rFonts w:asciiTheme="majorHAnsi" w:eastAsiaTheme="majorEastAsia" w:hAnsiTheme="majorHAnsi" w:cs="Arial"/>
          <w:color w:val="auto"/>
          <w:sz w:val="24"/>
          <w:szCs w:val="24"/>
        </w:rPr>
        <w:t xml:space="preserve">is required to </w:t>
      </w:r>
      <w:proofErr w:type="gramStart"/>
      <w:r w:rsidR="00016BD7" w:rsidRPr="006849EE">
        <w:rPr>
          <w:rFonts w:asciiTheme="majorHAnsi" w:eastAsiaTheme="majorEastAsia" w:hAnsiTheme="majorHAnsi" w:cs="Arial"/>
          <w:color w:val="auto"/>
          <w:sz w:val="24"/>
          <w:szCs w:val="24"/>
        </w:rPr>
        <w:t>create</w:t>
      </w:r>
      <w:r w:rsidR="31078599" w:rsidRPr="006849EE">
        <w:rPr>
          <w:rFonts w:asciiTheme="majorHAnsi" w:eastAsiaTheme="majorEastAsia" w:hAnsiTheme="majorHAnsi" w:cs="Arial"/>
          <w:color w:val="auto"/>
          <w:sz w:val="24"/>
          <w:szCs w:val="24"/>
        </w:rPr>
        <w:t xml:space="preserve"> ,</w:t>
      </w:r>
      <w:r w:rsidR="00016BD7" w:rsidRPr="006849EE">
        <w:rPr>
          <w:rFonts w:asciiTheme="majorHAnsi" w:eastAsiaTheme="majorEastAsia" w:hAnsiTheme="majorHAnsi" w:cs="Arial"/>
          <w:color w:val="auto"/>
          <w:sz w:val="24"/>
          <w:szCs w:val="24"/>
        </w:rPr>
        <w:t xml:space="preserve">augment </w:t>
      </w:r>
      <w:r w:rsidR="31078599" w:rsidRPr="006849EE">
        <w:rPr>
          <w:rFonts w:asciiTheme="majorHAnsi" w:eastAsiaTheme="majorEastAsia" w:hAnsiTheme="majorHAnsi" w:cs="Arial"/>
          <w:color w:val="auto"/>
          <w:sz w:val="24"/>
          <w:szCs w:val="24"/>
        </w:rPr>
        <w:t>,</w:t>
      </w:r>
      <w:r w:rsidR="00016BD7" w:rsidRPr="006849EE">
        <w:rPr>
          <w:rFonts w:asciiTheme="majorHAnsi" w:eastAsiaTheme="majorEastAsia" w:hAnsiTheme="majorHAnsi" w:cs="Arial"/>
          <w:color w:val="auto"/>
          <w:sz w:val="24"/>
          <w:szCs w:val="24"/>
        </w:rPr>
        <w:t>or</w:t>
      </w:r>
      <w:proofErr w:type="gramEnd"/>
      <w:r w:rsidR="00016BD7" w:rsidRPr="006849EE">
        <w:rPr>
          <w:rFonts w:asciiTheme="majorHAnsi" w:eastAsiaTheme="majorEastAsia" w:hAnsiTheme="majorHAnsi" w:cs="Arial"/>
          <w:color w:val="auto"/>
          <w:sz w:val="24"/>
          <w:szCs w:val="24"/>
        </w:rPr>
        <w:t xml:space="preserve"> extend the necessary </w:t>
      </w:r>
      <w:r w:rsidR="31078599" w:rsidRPr="006849EE">
        <w:rPr>
          <w:rFonts w:asciiTheme="majorHAnsi" w:eastAsiaTheme="majorEastAsia" w:hAnsiTheme="majorHAnsi" w:cs="Arial"/>
          <w:color w:val="auto"/>
          <w:sz w:val="24"/>
          <w:szCs w:val="24"/>
        </w:rPr>
        <w:t xml:space="preserve">distribution </w:t>
      </w:r>
      <w:r w:rsidR="00016BD7" w:rsidRPr="006849EE">
        <w:rPr>
          <w:rFonts w:asciiTheme="majorHAnsi" w:eastAsiaTheme="majorEastAsia" w:hAnsiTheme="majorHAnsi" w:cs="Arial"/>
          <w:color w:val="auto"/>
          <w:sz w:val="24"/>
          <w:szCs w:val="24"/>
        </w:rPr>
        <w:t xml:space="preserve">infrastructure </w:t>
      </w:r>
      <w:r w:rsidR="31078599" w:rsidRPr="006849EE">
        <w:rPr>
          <w:rFonts w:asciiTheme="majorHAnsi" w:eastAsiaTheme="majorEastAsia" w:hAnsiTheme="majorHAnsi" w:cs="Arial"/>
          <w:color w:val="auto"/>
          <w:sz w:val="24"/>
          <w:szCs w:val="24"/>
        </w:rPr>
        <w:t xml:space="preserve">to </w:t>
      </w:r>
      <w:r w:rsidR="00016BD7" w:rsidRPr="006849EE">
        <w:rPr>
          <w:rFonts w:asciiTheme="majorHAnsi" w:eastAsiaTheme="majorEastAsia" w:hAnsiTheme="majorHAnsi" w:cs="Arial"/>
          <w:color w:val="auto"/>
          <w:sz w:val="24"/>
          <w:szCs w:val="24"/>
        </w:rPr>
        <w:t>meet the demand for supply</w:t>
      </w:r>
      <w:r w:rsidR="2EC6C115" w:rsidRPr="006849EE">
        <w:rPr>
          <w:rFonts w:asciiTheme="majorHAnsi" w:eastAsiaTheme="majorEastAsia" w:hAnsiTheme="majorHAnsi" w:cs="Arial"/>
          <w:color w:val="auto"/>
          <w:sz w:val="24"/>
          <w:szCs w:val="24"/>
        </w:rPr>
        <w:t xml:space="preserve"> at the 11 KV </w:t>
      </w:r>
      <w:proofErr w:type="spellStart"/>
      <w:r w:rsidR="2EC6C115" w:rsidRPr="006849EE">
        <w:rPr>
          <w:rFonts w:asciiTheme="majorHAnsi" w:eastAsiaTheme="majorEastAsia" w:hAnsiTheme="majorHAnsi" w:cs="Arial"/>
          <w:color w:val="auto"/>
          <w:sz w:val="24"/>
          <w:szCs w:val="24"/>
        </w:rPr>
        <w:t>volatge</w:t>
      </w:r>
      <w:proofErr w:type="spellEnd"/>
      <w:r w:rsidR="2EC6C115" w:rsidRPr="006849EE">
        <w:rPr>
          <w:rFonts w:asciiTheme="majorHAnsi" w:eastAsiaTheme="majorEastAsia" w:hAnsiTheme="majorHAnsi" w:cs="Arial"/>
          <w:color w:val="auto"/>
          <w:sz w:val="24"/>
          <w:szCs w:val="24"/>
        </w:rPr>
        <w:t xml:space="preserve"> </w:t>
      </w:r>
      <w:proofErr w:type="gramStart"/>
      <w:r w:rsidR="2EC6C115" w:rsidRPr="006849EE">
        <w:rPr>
          <w:rFonts w:asciiTheme="majorHAnsi" w:eastAsiaTheme="majorEastAsia" w:hAnsiTheme="majorHAnsi" w:cs="Arial"/>
          <w:color w:val="auto"/>
          <w:sz w:val="24"/>
          <w:szCs w:val="24"/>
        </w:rPr>
        <w:t xml:space="preserve">level </w:t>
      </w:r>
      <w:r w:rsidR="79E6A778" w:rsidRPr="006849EE">
        <w:rPr>
          <w:rFonts w:asciiTheme="majorHAnsi" w:eastAsiaTheme="majorEastAsia" w:hAnsiTheme="majorHAnsi" w:cs="Arial"/>
          <w:color w:val="auto"/>
          <w:sz w:val="24"/>
          <w:szCs w:val="24"/>
        </w:rPr>
        <w:t>.</w:t>
      </w:r>
      <w:proofErr w:type="gramEnd"/>
    </w:p>
    <w:p w14:paraId="6DD7AECF"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In furtherance of this obligation, DVC </w:t>
      </w:r>
      <w:proofErr w:type="gramStart"/>
      <w:r w:rsidRPr="006849EE">
        <w:rPr>
          <w:rFonts w:asciiTheme="majorHAnsi" w:hAnsiTheme="majorHAnsi" w:cs="Arial"/>
          <w:color w:val="auto"/>
          <w:sz w:val="24"/>
          <w:szCs w:val="24"/>
        </w:rPr>
        <w:t>had filed</w:t>
      </w:r>
      <w:proofErr w:type="gramEnd"/>
      <w:r w:rsidRPr="006849EE">
        <w:rPr>
          <w:rFonts w:asciiTheme="majorHAnsi" w:hAnsiTheme="majorHAnsi" w:cs="Arial"/>
          <w:color w:val="auto"/>
          <w:sz w:val="24"/>
          <w:szCs w:val="24"/>
        </w:rPr>
        <w:t xml:space="preserve"> a separate petition before this Hon’ble Commission on 23.03.2023 seeking in-</w:t>
      </w:r>
      <w:proofErr w:type="gramStart"/>
      <w:r w:rsidRPr="006849EE">
        <w:rPr>
          <w:rFonts w:asciiTheme="majorHAnsi" w:hAnsiTheme="majorHAnsi" w:cs="Arial"/>
          <w:color w:val="auto"/>
          <w:sz w:val="24"/>
          <w:szCs w:val="24"/>
        </w:rPr>
        <w:t>principle</w:t>
      </w:r>
      <w:proofErr w:type="gramEnd"/>
      <w:r w:rsidRPr="006849EE">
        <w:rPr>
          <w:rFonts w:asciiTheme="majorHAnsi" w:hAnsiTheme="majorHAnsi" w:cs="Arial"/>
          <w:color w:val="auto"/>
          <w:sz w:val="24"/>
          <w:szCs w:val="24"/>
        </w:rPr>
        <w:t xml:space="preserve"> approval of the Detailed Project Report (DPR) for creation of 11 kV distribution infrastructure in the valley area. However, vide Order dated 11.08.2023, this Hon’ble Commission directed DVC to re-submit the same as part of its Business Plan along with the next tariff petition. Accordingly, DVC re-submitted the DPR and Business Plan on 04.12.2023 along with the True-up Petition for FY 2022-23, APR for FY 2023-24 and ARR &amp; Tariff for FY 2024-25. </w:t>
      </w:r>
    </w:p>
    <w:p w14:paraId="065A3569"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It is respectfully submitted that, in the petition dated 04.12.2023 (including the Business Plan), DVC sought approval for the proposed capital expenditure pertaining to the creation of the 11 kV distribution system in the State of Jharkhand. The said capital investment was proposed to be accounted for under the distribution business in accordance with Clauses 6.9, 6.10 and 6.11 of the JSERC MYT Regulations, 2020. </w:t>
      </w:r>
    </w:p>
    <w:p w14:paraId="4DBFBA83"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In the said petition, DVC had accordingly projected the capital cost of 11 kV distribution assets for FY 2023-24 and FY 2024-25 based on estimated requirements for supplying power to 11 kV consumers in Jharkhand. </w:t>
      </w:r>
    </w:p>
    <w:p w14:paraId="4F63045D"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lastRenderedPageBreak/>
        <w:t xml:space="preserve">In the Business Plan, DPR and Petition, DVC </w:t>
      </w:r>
      <w:proofErr w:type="gramStart"/>
      <w:r w:rsidRPr="006849EE">
        <w:rPr>
          <w:rFonts w:asciiTheme="majorHAnsi" w:hAnsiTheme="majorHAnsi" w:cs="Arial"/>
          <w:color w:val="auto"/>
          <w:sz w:val="24"/>
          <w:szCs w:val="24"/>
        </w:rPr>
        <w:t>had proposed</w:t>
      </w:r>
      <w:proofErr w:type="gramEnd"/>
      <w:r w:rsidRPr="006849EE">
        <w:rPr>
          <w:rFonts w:asciiTheme="majorHAnsi" w:hAnsiTheme="majorHAnsi" w:cs="Arial"/>
          <w:color w:val="auto"/>
          <w:sz w:val="24"/>
          <w:szCs w:val="24"/>
        </w:rPr>
        <w:t xml:space="preserve"> the development of the required 11 kV network in Jharkhand to facilitate supply at the 11 kV voltage level. It is submitted that, although such infrastructure has been created to meet actual consumer demand, DVC has not claimed the corresponding capital cost before the Hon’ble CERC. The expenditure incurred is strictly for fulfilling DVC’s statutory obligation under Section 43 of the Electricity Act, which requires supply to be provided on demand and necessitates the creation of adequate distribution infrastructure wherever such applications are received.</w:t>
      </w:r>
    </w:p>
    <w:p w14:paraId="24AB3648"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However, while issuing the tariff order dated 30.09.2024, this Hon’ble Commission did not approve the Business Plan or the capital investment plan relating to the creation of the 11 kV distribution infrastructure.  </w:t>
      </w:r>
    </w:p>
    <w:p w14:paraId="574E4178" w14:textId="77777777" w:rsidR="00016BD7" w:rsidRPr="006849EE" w:rsidRDefault="00016BD7" w:rsidP="00016BD7">
      <w:pPr>
        <w:pStyle w:val="ListParagraph"/>
        <w:widowControl w:val="0"/>
        <w:spacing w:line="360" w:lineRule="auto"/>
        <w:ind w:firstLine="360"/>
        <w:contextualSpacing w:val="0"/>
        <w:jc w:val="both"/>
        <w:rPr>
          <w:rFonts w:asciiTheme="majorHAnsi" w:hAnsiTheme="majorHAnsi"/>
          <w:b/>
          <w:bCs/>
          <w:color w:val="000000" w:themeColor="text1"/>
          <w:sz w:val="24"/>
          <w:szCs w:val="24"/>
        </w:rPr>
      </w:pPr>
      <w:r w:rsidRPr="006849EE">
        <w:rPr>
          <w:rFonts w:asciiTheme="majorHAnsi" w:hAnsiTheme="majorHAnsi"/>
          <w:b/>
          <w:bCs/>
          <w:color w:val="000000" w:themeColor="text1"/>
          <w:sz w:val="24"/>
          <w:szCs w:val="24"/>
        </w:rPr>
        <w:t>Compliance with Hon’ble JSERC directions</w:t>
      </w:r>
    </w:p>
    <w:p w14:paraId="70328636"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olor w:val="000000" w:themeColor="text1"/>
          <w:sz w:val="24"/>
          <w:szCs w:val="24"/>
        </w:rPr>
      </w:pPr>
      <w:r w:rsidRPr="006849EE">
        <w:rPr>
          <w:rFonts w:asciiTheme="majorHAnsi" w:hAnsiTheme="majorHAnsi"/>
          <w:color w:val="000000" w:themeColor="text1"/>
          <w:sz w:val="24"/>
          <w:szCs w:val="24"/>
        </w:rPr>
        <w:t xml:space="preserve">In </w:t>
      </w:r>
      <w:r w:rsidRPr="006849EE">
        <w:rPr>
          <w:rFonts w:asciiTheme="majorHAnsi" w:hAnsiTheme="majorHAnsi" w:cs="Arial"/>
          <w:color w:val="auto"/>
          <w:sz w:val="24"/>
          <w:szCs w:val="24"/>
        </w:rPr>
        <w:t>its</w:t>
      </w:r>
      <w:r w:rsidRPr="006849EE">
        <w:rPr>
          <w:rFonts w:asciiTheme="majorHAnsi" w:hAnsiTheme="majorHAnsi"/>
          <w:color w:val="000000" w:themeColor="text1"/>
          <w:sz w:val="24"/>
          <w:szCs w:val="24"/>
        </w:rPr>
        <w:t xml:space="preserve"> </w:t>
      </w:r>
      <w:r w:rsidRPr="006849EE">
        <w:rPr>
          <w:rFonts w:asciiTheme="majorHAnsi" w:hAnsiTheme="majorHAnsi" w:cs="Arial"/>
          <w:color w:val="auto"/>
          <w:sz w:val="24"/>
          <w:szCs w:val="24"/>
        </w:rPr>
        <w:t>Tariff</w:t>
      </w:r>
      <w:r w:rsidRPr="006849EE">
        <w:rPr>
          <w:rFonts w:asciiTheme="majorHAnsi" w:hAnsiTheme="majorHAnsi"/>
          <w:color w:val="000000" w:themeColor="text1"/>
          <w:sz w:val="24"/>
          <w:szCs w:val="24"/>
        </w:rPr>
        <w:t xml:space="preserve"> Order dated 30.09.2024 and 27.05.2025, the Hon'ble JSERC acknowledged the complexities of DVC operating in an area already licensed to JBVNL and urged both parties to engage constructively and submit mutually agreeable, legally viable proposals. Accordingly, this Hon’ble Commission held </w:t>
      </w:r>
      <w:proofErr w:type="gramStart"/>
      <w:r w:rsidRPr="006849EE">
        <w:rPr>
          <w:rFonts w:asciiTheme="majorHAnsi" w:hAnsiTheme="majorHAnsi"/>
          <w:color w:val="000000" w:themeColor="text1"/>
          <w:sz w:val="24"/>
          <w:szCs w:val="24"/>
        </w:rPr>
        <w:t>one</w:t>
      </w:r>
      <w:proofErr w:type="gramEnd"/>
      <w:r w:rsidRPr="006849EE">
        <w:rPr>
          <w:rFonts w:asciiTheme="majorHAnsi" w:hAnsiTheme="majorHAnsi"/>
          <w:color w:val="000000" w:themeColor="text1"/>
          <w:sz w:val="24"/>
          <w:szCs w:val="24"/>
        </w:rPr>
        <w:t xml:space="preserve"> meeting with DVC and JBVNL at JSERC Office, Ranchi on 17.04.2025 towards finding a mutually agreeable solution. DVC also submitted Affidavit before this Hon’ble Commission on 17.04.2025 replying the queries made by the Commission on the issue. </w:t>
      </w:r>
    </w:p>
    <w:p w14:paraId="5D53BBDA" w14:textId="314056F6"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olor w:val="EE0000"/>
          <w:sz w:val="24"/>
          <w:szCs w:val="24"/>
        </w:rPr>
      </w:pPr>
      <w:r w:rsidRPr="006849EE">
        <w:rPr>
          <w:rFonts w:asciiTheme="majorHAnsi" w:hAnsiTheme="majorHAnsi"/>
          <w:color w:val="000000" w:themeColor="text1"/>
          <w:sz w:val="24"/>
          <w:szCs w:val="24"/>
        </w:rPr>
        <w:t xml:space="preserve">As directed by the Hon’ble Commission, Senior </w:t>
      </w:r>
      <w:r w:rsidRPr="006849EE">
        <w:rPr>
          <w:rFonts w:asciiTheme="majorHAnsi" w:hAnsiTheme="majorHAnsi" w:cs="Arial"/>
          <w:color w:val="auto"/>
          <w:sz w:val="24"/>
          <w:szCs w:val="24"/>
        </w:rPr>
        <w:t>officials</w:t>
      </w:r>
      <w:r w:rsidRPr="006849EE">
        <w:rPr>
          <w:rFonts w:asciiTheme="majorHAnsi" w:hAnsiTheme="majorHAnsi"/>
          <w:color w:val="000000" w:themeColor="text1"/>
          <w:sz w:val="24"/>
          <w:szCs w:val="24"/>
        </w:rPr>
        <w:t xml:space="preserve"> of DVC and JBVNL again met at JBVNL Office on 23.04.2025 to resolve the issue. Further, </w:t>
      </w:r>
      <w:proofErr w:type="gramStart"/>
      <w:r w:rsidRPr="006849EE">
        <w:rPr>
          <w:rFonts w:asciiTheme="majorHAnsi" w:hAnsiTheme="majorHAnsi"/>
          <w:color w:val="000000" w:themeColor="text1"/>
          <w:sz w:val="24"/>
          <w:szCs w:val="24"/>
        </w:rPr>
        <w:t>DVC</w:t>
      </w:r>
      <w:proofErr w:type="gramEnd"/>
      <w:r w:rsidRPr="006849EE">
        <w:rPr>
          <w:rFonts w:asciiTheme="majorHAnsi" w:hAnsiTheme="majorHAnsi"/>
          <w:color w:val="000000" w:themeColor="text1"/>
          <w:sz w:val="24"/>
          <w:szCs w:val="24"/>
        </w:rPr>
        <w:t xml:space="preserve"> in compliance of Hon’ble Commission’s directive, shared the Minutes of the said meeting with JBVNL with this Commission vide letter dated 15.07.2025</w:t>
      </w:r>
      <w:r w:rsidR="00FA391A" w:rsidRPr="006849EE">
        <w:rPr>
          <w:rFonts w:asciiTheme="majorHAnsi" w:hAnsiTheme="majorHAnsi"/>
          <w:color w:val="000000" w:themeColor="text1"/>
          <w:sz w:val="24"/>
          <w:szCs w:val="24"/>
        </w:rPr>
        <w:t xml:space="preserve">. Relevant supporting documents are attached as </w:t>
      </w:r>
      <w:r w:rsidR="00FA391A" w:rsidRPr="006849EE">
        <w:rPr>
          <w:rFonts w:asciiTheme="majorHAnsi" w:hAnsiTheme="majorHAnsi"/>
          <w:b/>
          <w:bCs/>
          <w:color w:val="000000" w:themeColor="text1"/>
          <w:sz w:val="24"/>
          <w:szCs w:val="24"/>
        </w:rPr>
        <w:t>ANNEXURE-7.</w:t>
      </w:r>
    </w:p>
    <w:p w14:paraId="705A8C4F" w14:textId="77777777" w:rsidR="00016BD7" w:rsidRPr="006849EE" w:rsidRDefault="00016BD7" w:rsidP="00016BD7">
      <w:pPr>
        <w:pStyle w:val="ListParagraph"/>
        <w:widowControl w:val="0"/>
        <w:contextualSpacing w:val="0"/>
        <w:jc w:val="both"/>
        <w:rPr>
          <w:rFonts w:asciiTheme="majorHAnsi" w:hAnsiTheme="majorHAnsi"/>
          <w:color w:val="EE0000"/>
          <w:sz w:val="24"/>
          <w:szCs w:val="24"/>
        </w:rPr>
      </w:pPr>
    </w:p>
    <w:p w14:paraId="5CC5A50A" w14:textId="77777777" w:rsidR="00016BD7" w:rsidRPr="006849EE" w:rsidRDefault="00016BD7" w:rsidP="00016BD7">
      <w:pPr>
        <w:pStyle w:val="ListParagraph"/>
        <w:widowControl w:val="0"/>
        <w:spacing w:line="360" w:lineRule="auto"/>
        <w:ind w:firstLine="360"/>
        <w:contextualSpacing w:val="0"/>
        <w:jc w:val="both"/>
        <w:rPr>
          <w:rStyle w:val="Strong"/>
          <w:rFonts w:asciiTheme="majorHAnsi" w:hAnsiTheme="majorHAnsi"/>
          <w:color w:val="000000" w:themeColor="text1"/>
          <w:sz w:val="24"/>
          <w:szCs w:val="24"/>
        </w:rPr>
      </w:pPr>
      <w:r w:rsidRPr="006849EE">
        <w:rPr>
          <w:rStyle w:val="Strong"/>
          <w:rFonts w:asciiTheme="majorHAnsi" w:hAnsiTheme="majorHAnsi"/>
          <w:color w:val="000000" w:themeColor="text1"/>
          <w:sz w:val="24"/>
          <w:szCs w:val="24"/>
        </w:rPr>
        <w:t>Existing T&amp;D system of DVC and declaration for 11 KV infrastructure:</w:t>
      </w:r>
    </w:p>
    <w:p w14:paraId="255951AB"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olor w:val="000000" w:themeColor="text1"/>
          <w:sz w:val="24"/>
          <w:szCs w:val="24"/>
        </w:rPr>
      </w:pPr>
      <w:r w:rsidRPr="006849EE">
        <w:rPr>
          <w:rFonts w:asciiTheme="majorHAnsi" w:hAnsiTheme="majorHAnsi"/>
          <w:sz w:val="24"/>
          <w:szCs w:val="24"/>
        </w:rPr>
        <w:t xml:space="preserve">The </w:t>
      </w:r>
      <w:r w:rsidRPr="006849EE">
        <w:rPr>
          <w:rFonts w:asciiTheme="majorHAnsi" w:hAnsiTheme="majorHAnsi" w:cs="Arial"/>
          <w:color w:val="auto"/>
          <w:sz w:val="24"/>
          <w:szCs w:val="24"/>
        </w:rPr>
        <w:t>Hon’ble</w:t>
      </w:r>
      <w:r w:rsidRPr="006849EE">
        <w:rPr>
          <w:rFonts w:asciiTheme="majorHAnsi" w:hAnsiTheme="majorHAnsi"/>
          <w:sz w:val="24"/>
          <w:szCs w:val="24"/>
        </w:rPr>
        <w:t xml:space="preserve"> APTEL</w:t>
      </w:r>
      <w:r w:rsidRPr="006849EE">
        <w:rPr>
          <w:rFonts w:asciiTheme="majorHAnsi" w:hAnsiTheme="majorHAnsi"/>
          <w:i/>
          <w:iCs/>
          <w:sz w:val="24"/>
          <w:szCs w:val="24"/>
        </w:rPr>
        <w:t xml:space="preserve"> vide</w:t>
      </w:r>
      <w:r w:rsidRPr="006849EE">
        <w:rPr>
          <w:rFonts w:asciiTheme="majorHAnsi" w:hAnsiTheme="majorHAnsi"/>
          <w:sz w:val="24"/>
          <w:szCs w:val="24"/>
        </w:rPr>
        <w:t xml:space="preserve"> its judgment dated </w:t>
      </w:r>
      <w:r w:rsidRPr="006849EE">
        <w:rPr>
          <w:rStyle w:val="Strong"/>
          <w:rFonts w:asciiTheme="majorHAnsi" w:hAnsiTheme="majorHAnsi"/>
          <w:b w:val="0"/>
          <w:bCs w:val="0"/>
          <w:sz w:val="24"/>
          <w:szCs w:val="24"/>
        </w:rPr>
        <w:t>23.11.2007</w:t>
      </w:r>
      <w:r w:rsidRPr="006849EE">
        <w:rPr>
          <w:rFonts w:asciiTheme="majorHAnsi" w:hAnsiTheme="majorHAnsi"/>
          <w:sz w:val="24"/>
          <w:szCs w:val="24"/>
        </w:rPr>
        <w:t xml:space="preserve"> in Appeal No. 271 of 2006 and batch, held that the network of DVC constitutes a </w:t>
      </w:r>
      <w:r w:rsidRPr="006849EE">
        <w:rPr>
          <w:rStyle w:val="Strong"/>
          <w:rFonts w:asciiTheme="majorHAnsi" w:hAnsiTheme="majorHAnsi"/>
          <w:b w:val="0"/>
          <w:bCs w:val="0"/>
          <w:sz w:val="24"/>
          <w:szCs w:val="24"/>
        </w:rPr>
        <w:t>Unified Deemed Inter-State Transmission System</w:t>
      </w:r>
      <w:r w:rsidRPr="006849EE">
        <w:rPr>
          <w:rFonts w:asciiTheme="majorHAnsi" w:hAnsiTheme="majorHAnsi"/>
          <w:sz w:val="24"/>
          <w:szCs w:val="24"/>
        </w:rPr>
        <w:t xml:space="preserve">, covering both transmission and distribution elements, including voltage at </w:t>
      </w:r>
      <w:r w:rsidRPr="006849EE">
        <w:rPr>
          <w:rStyle w:val="Strong"/>
          <w:rFonts w:asciiTheme="majorHAnsi" w:hAnsiTheme="majorHAnsi"/>
          <w:b w:val="0"/>
          <w:bCs w:val="0"/>
          <w:sz w:val="24"/>
          <w:szCs w:val="24"/>
        </w:rPr>
        <w:t>33 kV</w:t>
      </w:r>
      <w:r w:rsidRPr="006849EE">
        <w:rPr>
          <w:rFonts w:asciiTheme="majorHAnsi" w:hAnsiTheme="majorHAnsi"/>
          <w:sz w:val="24"/>
          <w:szCs w:val="24"/>
        </w:rPr>
        <w:t xml:space="preserve">. This view has been </w:t>
      </w:r>
      <w:r w:rsidRPr="006849EE">
        <w:rPr>
          <w:rStyle w:val="Strong"/>
          <w:rFonts w:asciiTheme="majorHAnsi" w:hAnsiTheme="majorHAnsi"/>
          <w:b w:val="0"/>
          <w:bCs w:val="0"/>
          <w:sz w:val="24"/>
          <w:szCs w:val="24"/>
        </w:rPr>
        <w:t>upheld by the Hon’ble Supreme Court</w:t>
      </w:r>
      <w:r w:rsidRPr="006849EE">
        <w:rPr>
          <w:rFonts w:asciiTheme="majorHAnsi" w:hAnsiTheme="majorHAnsi"/>
          <w:sz w:val="24"/>
          <w:szCs w:val="24"/>
        </w:rPr>
        <w:t xml:space="preserve"> on </w:t>
      </w:r>
      <w:r w:rsidRPr="006849EE">
        <w:rPr>
          <w:rStyle w:val="Strong"/>
          <w:rFonts w:asciiTheme="majorHAnsi" w:hAnsiTheme="majorHAnsi"/>
          <w:b w:val="0"/>
          <w:bCs w:val="0"/>
          <w:sz w:val="24"/>
          <w:szCs w:val="24"/>
        </w:rPr>
        <w:t xml:space="preserve">23.07.2018 in the case of </w:t>
      </w:r>
      <w:r w:rsidRPr="006849EE">
        <w:rPr>
          <w:rFonts w:asciiTheme="majorHAnsi" w:hAnsiTheme="majorHAnsi"/>
          <w:i/>
          <w:iCs/>
          <w:sz w:val="24"/>
          <w:szCs w:val="24"/>
        </w:rPr>
        <w:t xml:space="preserve">Bhaskar </w:t>
      </w:r>
      <w:proofErr w:type="spellStart"/>
      <w:r w:rsidRPr="006849EE">
        <w:rPr>
          <w:rFonts w:asciiTheme="majorHAnsi" w:hAnsiTheme="majorHAnsi"/>
          <w:i/>
          <w:iCs/>
          <w:sz w:val="24"/>
          <w:szCs w:val="24"/>
        </w:rPr>
        <w:t>Shrachi</w:t>
      </w:r>
      <w:proofErr w:type="spellEnd"/>
      <w:r w:rsidRPr="006849EE">
        <w:rPr>
          <w:rFonts w:asciiTheme="majorHAnsi" w:hAnsiTheme="majorHAnsi"/>
          <w:i/>
          <w:iCs/>
          <w:sz w:val="24"/>
          <w:szCs w:val="24"/>
        </w:rPr>
        <w:t xml:space="preserve"> vs DVC &amp; Ors</w:t>
      </w:r>
      <w:r w:rsidRPr="006849EE">
        <w:rPr>
          <w:rFonts w:asciiTheme="majorHAnsi" w:hAnsiTheme="majorHAnsi"/>
          <w:sz w:val="24"/>
          <w:szCs w:val="24"/>
        </w:rPr>
        <w:t>, thereby settling the matter with finality.</w:t>
      </w:r>
    </w:p>
    <w:p w14:paraId="6E9EC936" w14:textId="77777777" w:rsidR="00016BD7" w:rsidRPr="006849EE" w:rsidRDefault="00016BD7" w:rsidP="000267F9">
      <w:pPr>
        <w:numPr>
          <w:ilvl w:val="0"/>
          <w:numId w:val="1"/>
        </w:numPr>
        <w:tabs>
          <w:tab w:val="clear" w:pos="1080"/>
          <w:tab w:val="num" w:pos="735"/>
        </w:tabs>
        <w:spacing w:line="360" w:lineRule="auto"/>
        <w:ind w:left="734" w:hanging="735"/>
        <w:jc w:val="both"/>
        <w:rPr>
          <w:rStyle w:val="Strong"/>
          <w:rFonts w:asciiTheme="majorHAnsi" w:hAnsiTheme="majorHAnsi"/>
          <w:b w:val="0"/>
          <w:bCs w:val="0"/>
          <w:sz w:val="24"/>
          <w:szCs w:val="24"/>
        </w:rPr>
      </w:pPr>
      <w:proofErr w:type="gramStart"/>
      <w:r w:rsidRPr="006849EE">
        <w:rPr>
          <w:rFonts w:asciiTheme="majorHAnsi" w:hAnsiTheme="majorHAnsi"/>
          <w:sz w:val="24"/>
          <w:szCs w:val="24"/>
        </w:rPr>
        <w:lastRenderedPageBreak/>
        <w:t>In light of</w:t>
      </w:r>
      <w:proofErr w:type="gramEnd"/>
      <w:r w:rsidRPr="006849EE">
        <w:rPr>
          <w:rFonts w:asciiTheme="majorHAnsi" w:hAnsiTheme="majorHAnsi"/>
          <w:sz w:val="24"/>
          <w:szCs w:val="24"/>
        </w:rPr>
        <w:t xml:space="preserve"> the above, the </w:t>
      </w:r>
      <w:r w:rsidRPr="006849EE">
        <w:rPr>
          <w:rFonts w:asciiTheme="majorHAnsi" w:hAnsiTheme="majorHAnsi"/>
          <w:b/>
          <w:bCs/>
          <w:sz w:val="24"/>
          <w:szCs w:val="24"/>
        </w:rPr>
        <w:t>existing</w:t>
      </w:r>
      <w:r w:rsidRPr="006849EE">
        <w:rPr>
          <w:rFonts w:asciiTheme="majorHAnsi" w:hAnsiTheme="majorHAnsi"/>
          <w:sz w:val="24"/>
          <w:szCs w:val="24"/>
        </w:rPr>
        <w:t xml:space="preserve"> T&amp;D network of DVC cannot be bifurcated into separate transmission and distribution assets. The capital expenditure incurred on such assets is accordingly serviced through Transmission Tariff as determined by the </w:t>
      </w:r>
      <w:r w:rsidRPr="006849EE">
        <w:rPr>
          <w:rStyle w:val="Strong"/>
          <w:rFonts w:asciiTheme="majorHAnsi" w:hAnsiTheme="majorHAnsi"/>
          <w:b w:val="0"/>
          <w:bCs w:val="0"/>
          <w:sz w:val="24"/>
          <w:szCs w:val="24"/>
        </w:rPr>
        <w:t>Hon’ble CERC</w:t>
      </w:r>
      <w:r w:rsidRPr="006849EE">
        <w:rPr>
          <w:rFonts w:asciiTheme="majorHAnsi" w:hAnsiTheme="majorHAnsi"/>
          <w:sz w:val="24"/>
          <w:szCs w:val="24"/>
        </w:rPr>
        <w:t xml:space="preserve">, and not through any distinct retail wire business tariff. </w:t>
      </w:r>
      <w:r w:rsidRPr="006849EE">
        <w:rPr>
          <w:rStyle w:val="Strong"/>
          <w:rFonts w:asciiTheme="majorHAnsi" w:hAnsiTheme="majorHAnsi"/>
          <w:b w:val="0"/>
          <w:bCs w:val="0"/>
          <w:sz w:val="24"/>
          <w:szCs w:val="24"/>
        </w:rPr>
        <w:t>Further, in terms of the DVC Act, and under the directions of the Comptroller and Auditor General (CAG), DVC prepares its annual audited accounts. Accordingly, DVC cannot unilaterally alter the manner of preparation of its accounts without prior consultation with or direction from the CAG.</w:t>
      </w:r>
      <w:r w:rsidRPr="006849EE">
        <w:rPr>
          <w:rStyle w:val="Strong"/>
          <w:rFonts w:asciiTheme="majorHAnsi" w:hAnsiTheme="majorHAnsi"/>
          <w:sz w:val="24"/>
          <w:szCs w:val="24"/>
        </w:rPr>
        <w:t xml:space="preserve">  </w:t>
      </w:r>
    </w:p>
    <w:p w14:paraId="5C9A1061" w14:textId="77777777" w:rsidR="00016BD7" w:rsidRPr="006849EE" w:rsidRDefault="00016BD7" w:rsidP="000267F9">
      <w:pPr>
        <w:numPr>
          <w:ilvl w:val="0"/>
          <w:numId w:val="1"/>
        </w:numPr>
        <w:tabs>
          <w:tab w:val="clear" w:pos="1080"/>
          <w:tab w:val="num" w:pos="735"/>
        </w:tabs>
        <w:spacing w:line="360" w:lineRule="auto"/>
        <w:ind w:left="734" w:hanging="735"/>
        <w:jc w:val="both"/>
        <w:rPr>
          <w:rStyle w:val="Strong"/>
          <w:rFonts w:asciiTheme="majorHAnsi" w:hAnsiTheme="majorHAnsi"/>
          <w:b w:val="0"/>
          <w:bCs w:val="0"/>
          <w:sz w:val="24"/>
          <w:szCs w:val="24"/>
        </w:rPr>
      </w:pPr>
      <w:r w:rsidRPr="006849EE">
        <w:rPr>
          <w:rStyle w:val="Strong"/>
          <w:rFonts w:asciiTheme="majorHAnsi" w:hAnsiTheme="majorHAnsi"/>
          <w:b w:val="0"/>
          <w:bCs w:val="0"/>
          <w:sz w:val="24"/>
          <w:szCs w:val="24"/>
        </w:rPr>
        <w:t>However, to comply with the directions of Hon’ble JSERC, DVC has formally intimated to the CAG on 16.04.2025 that a separate Balance Sheet and Profit &amp; Loss Account for its 11 kV Distribution business will be prepared and appended as an annexure to the main accounts from FY 2024–25 onward.</w:t>
      </w:r>
      <w:r w:rsidRPr="006849EE">
        <w:rPr>
          <w:rStyle w:val="Strong"/>
          <w:rFonts w:asciiTheme="majorHAnsi" w:hAnsiTheme="majorHAnsi"/>
          <w:b w:val="0"/>
          <w:bCs w:val="0"/>
          <w:color w:val="000000" w:themeColor="text1"/>
          <w:sz w:val="24"/>
          <w:szCs w:val="24"/>
        </w:rPr>
        <w:t xml:space="preserve"> Therefore, for the proposed 11 kV System and associated assets, DVC can prepare a separate Balance Sheet and Profit &amp; Loss Account, to be appended as an annexure to the main audited accounts. This would ensure full transparency with respect to 11 kV system (including the associated assets) while maintaining statutory and regulatory compliance.</w:t>
      </w:r>
    </w:p>
    <w:p w14:paraId="1D734B82"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olor w:val="000000" w:themeColor="text1"/>
          <w:sz w:val="24"/>
          <w:szCs w:val="24"/>
        </w:rPr>
      </w:pPr>
      <w:r w:rsidRPr="006849EE">
        <w:rPr>
          <w:rFonts w:asciiTheme="majorHAnsi" w:hAnsiTheme="majorHAnsi"/>
          <w:color w:val="000000" w:themeColor="text1"/>
          <w:sz w:val="24"/>
          <w:szCs w:val="24"/>
        </w:rPr>
        <w:t xml:space="preserve">In view of </w:t>
      </w:r>
      <w:r w:rsidRPr="006849EE">
        <w:rPr>
          <w:rFonts w:asciiTheme="majorHAnsi" w:hAnsiTheme="majorHAnsi" w:cs="Arial"/>
          <w:color w:val="auto"/>
          <w:sz w:val="24"/>
          <w:szCs w:val="24"/>
        </w:rPr>
        <w:t>the</w:t>
      </w:r>
      <w:r w:rsidRPr="006849EE">
        <w:rPr>
          <w:rFonts w:asciiTheme="majorHAnsi" w:hAnsiTheme="majorHAnsi"/>
          <w:color w:val="000000" w:themeColor="text1"/>
          <w:sz w:val="24"/>
          <w:szCs w:val="24"/>
        </w:rPr>
        <w:t xml:space="preserve"> </w:t>
      </w:r>
      <w:r w:rsidRPr="006849EE">
        <w:rPr>
          <w:rFonts w:asciiTheme="majorHAnsi" w:hAnsiTheme="majorHAnsi" w:cs="Arial"/>
          <w:color w:val="auto"/>
          <w:sz w:val="24"/>
          <w:szCs w:val="24"/>
        </w:rPr>
        <w:t>settled</w:t>
      </w:r>
      <w:r w:rsidRPr="006849EE">
        <w:rPr>
          <w:rFonts w:asciiTheme="majorHAnsi" w:hAnsiTheme="majorHAnsi"/>
          <w:color w:val="000000" w:themeColor="text1"/>
          <w:sz w:val="24"/>
          <w:szCs w:val="24"/>
        </w:rPr>
        <w:t xml:space="preserve"> legal position and the integrated nature of DVC’s existing Transmission and Distribution system, which has been recognized as a unified Deemed Inter State Transmission System by both the Hon’ble APTEL and the Hon’ble Supreme Court, any bifurcation of existing assets into separate transmission and distribution components is neither feasible nor permissible.  </w:t>
      </w:r>
      <w:r w:rsidRPr="006849EE">
        <w:rPr>
          <w:rFonts w:asciiTheme="majorHAnsi" w:hAnsiTheme="majorHAnsi" w:cs="Arial"/>
          <w:color w:val="auto"/>
          <w:sz w:val="24"/>
          <w:szCs w:val="24"/>
        </w:rPr>
        <w:t>Consequently</w:t>
      </w:r>
      <w:r w:rsidRPr="006849EE">
        <w:rPr>
          <w:rFonts w:asciiTheme="majorHAnsi" w:hAnsiTheme="majorHAnsi"/>
          <w:color w:val="000000" w:themeColor="text1"/>
          <w:sz w:val="24"/>
          <w:szCs w:val="24"/>
        </w:rPr>
        <w:t xml:space="preserve">, the corresponding financial accounts cannot be segregated. However, </w:t>
      </w:r>
      <w:proofErr w:type="gramStart"/>
      <w:r w:rsidRPr="006849EE">
        <w:rPr>
          <w:rFonts w:asciiTheme="majorHAnsi" w:hAnsiTheme="majorHAnsi"/>
          <w:color w:val="000000" w:themeColor="text1"/>
          <w:sz w:val="24"/>
          <w:szCs w:val="24"/>
        </w:rPr>
        <w:t>in order to</w:t>
      </w:r>
      <w:proofErr w:type="gramEnd"/>
      <w:r w:rsidRPr="006849EE">
        <w:rPr>
          <w:rFonts w:asciiTheme="majorHAnsi" w:hAnsiTheme="majorHAnsi"/>
          <w:color w:val="000000" w:themeColor="text1"/>
          <w:sz w:val="24"/>
          <w:szCs w:val="24"/>
        </w:rPr>
        <w:t xml:space="preserve"> ensure regulatory transparency and compliance with the directions of the Hon’ble JSERC, DVC is maintaining a separate Balance Sheet and Profit and Loss Account for the proposed 11 kV system and its associated assets as reflected in the annual audited accounts of DVC.</w:t>
      </w:r>
    </w:p>
    <w:p w14:paraId="6B246DC6"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olor w:val="000000" w:themeColor="text1"/>
          <w:sz w:val="24"/>
          <w:szCs w:val="24"/>
        </w:rPr>
      </w:pPr>
      <w:r w:rsidRPr="006849EE">
        <w:rPr>
          <w:rFonts w:asciiTheme="majorHAnsi" w:hAnsiTheme="majorHAnsi"/>
          <w:color w:val="000000" w:themeColor="text1"/>
          <w:sz w:val="24"/>
          <w:szCs w:val="24"/>
        </w:rPr>
        <w:t xml:space="preserve">Upon </w:t>
      </w:r>
      <w:r w:rsidRPr="006849EE">
        <w:rPr>
          <w:rFonts w:asciiTheme="majorHAnsi" w:hAnsiTheme="majorHAnsi" w:cs="Arial"/>
          <w:color w:val="auto"/>
          <w:sz w:val="24"/>
          <w:szCs w:val="24"/>
        </w:rPr>
        <w:t>implementation</w:t>
      </w:r>
      <w:r w:rsidRPr="006849EE">
        <w:rPr>
          <w:rFonts w:asciiTheme="majorHAnsi" w:hAnsiTheme="majorHAnsi"/>
          <w:color w:val="000000" w:themeColor="text1"/>
          <w:sz w:val="24"/>
          <w:szCs w:val="24"/>
        </w:rPr>
        <w:t xml:space="preserve"> of the 11 kV infrastructure, DVC will submit the necessary financial statement, as required, for determination of tariff, duly audited by Chartered Firm. DVC also submits in this regard that the audited financial statement for submission before the State Commissions of Jharkhand and West Bengal will also contain necessary reconciliation with the Audited Annual Accounts of DVC indicating the Capex segregation between Existing T&amp;D Network (i.e. existing </w:t>
      </w:r>
      <w:r w:rsidRPr="006849EE">
        <w:rPr>
          <w:rFonts w:asciiTheme="majorHAnsi" w:hAnsiTheme="majorHAnsi"/>
          <w:color w:val="000000" w:themeColor="text1"/>
          <w:sz w:val="24"/>
          <w:szCs w:val="24"/>
        </w:rPr>
        <w:lastRenderedPageBreak/>
        <w:t>‘</w:t>
      </w:r>
      <w:r w:rsidRPr="006849EE">
        <w:rPr>
          <w:rFonts w:asciiTheme="majorHAnsi" w:hAnsiTheme="majorHAnsi"/>
          <w:i/>
          <w:iCs/>
          <w:color w:val="000000" w:themeColor="text1"/>
          <w:sz w:val="24"/>
          <w:szCs w:val="24"/>
        </w:rPr>
        <w:t xml:space="preserve">Unified Deemed Inter-State Transmission system’ which is </w:t>
      </w:r>
      <w:r w:rsidRPr="006849EE">
        <w:rPr>
          <w:rFonts w:asciiTheme="majorHAnsi" w:hAnsiTheme="majorHAnsi"/>
          <w:color w:val="000000" w:themeColor="text1"/>
          <w:sz w:val="24"/>
          <w:szCs w:val="24"/>
        </w:rPr>
        <w:t>under the purview of CERC</w:t>
      </w:r>
      <w:r w:rsidRPr="006849EE">
        <w:rPr>
          <w:rFonts w:asciiTheme="majorHAnsi" w:hAnsiTheme="majorHAnsi"/>
          <w:i/>
          <w:iCs/>
          <w:color w:val="000000" w:themeColor="text1"/>
          <w:sz w:val="24"/>
          <w:szCs w:val="24"/>
        </w:rPr>
        <w:t xml:space="preserve">) </w:t>
      </w:r>
      <w:r w:rsidRPr="006849EE">
        <w:rPr>
          <w:rFonts w:asciiTheme="majorHAnsi" w:hAnsiTheme="majorHAnsi"/>
          <w:color w:val="000000" w:themeColor="text1"/>
          <w:sz w:val="24"/>
          <w:szCs w:val="24"/>
        </w:rPr>
        <w:t>and newly developed 11 KV and associated network for Jharkhand and West Bengal. This will ensure clear visibility of capital cost incurred exclusively for 11 KV power supply in both the states for recovery through Tariff to be determined by Hon’ble JSERC and that for West Bengal to be recovered through Tariff determined by Hon’ble WBERC.</w:t>
      </w:r>
    </w:p>
    <w:p w14:paraId="6F9443EE"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olor w:val="000000" w:themeColor="text1"/>
          <w:sz w:val="24"/>
          <w:szCs w:val="24"/>
        </w:rPr>
      </w:pPr>
      <w:r w:rsidRPr="006849EE">
        <w:rPr>
          <w:rFonts w:asciiTheme="majorHAnsi" w:hAnsiTheme="majorHAnsi"/>
          <w:color w:val="000000" w:themeColor="text1"/>
          <w:sz w:val="24"/>
          <w:szCs w:val="24"/>
        </w:rPr>
        <w:t xml:space="preserve">As mentioned above, pursuant to directions </w:t>
      </w:r>
      <w:r w:rsidRPr="006849EE">
        <w:rPr>
          <w:rFonts w:asciiTheme="majorHAnsi" w:hAnsiTheme="majorHAnsi" w:cs="Arial"/>
          <w:color w:val="auto"/>
          <w:sz w:val="24"/>
          <w:szCs w:val="24"/>
        </w:rPr>
        <w:t>issued</w:t>
      </w:r>
      <w:r w:rsidRPr="006849EE">
        <w:rPr>
          <w:rFonts w:asciiTheme="majorHAnsi" w:hAnsiTheme="majorHAnsi"/>
          <w:color w:val="000000" w:themeColor="text1"/>
          <w:sz w:val="24"/>
          <w:szCs w:val="24"/>
        </w:rPr>
        <w:t xml:space="preserve"> by Hon’ble JSERC </w:t>
      </w:r>
      <w:r w:rsidRPr="006849EE">
        <w:rPr>
          <w:rFonts w:asciiTheme="majorHAnsi" w:hAnsiTheme="majorHAnsi"/>
          <w:i/>
          <w:iCs/>
          <w:color w:val="000000" w:themeColor="text1"/>
          <w:sz w:val="24"/>
          <w:szCs w:val="24"/>
        </w:rPr>
        <w:t xml:space="preserve">vide </w:t>
      </w:r>
      <w:r w:rsidRPr="006849EE">
        <w:rPr>
          <w:rFonts w:asciiTheme="majorHAnsi" w:hAnsiTheme="majorHAnsi"/>
          <w:color w:val="000000" w:themeColor="text1"/>
          <w:sz w:val="24"/>
          <w:szCs w:val="24"/>
        </w:rPr>
        <w:t xml:space="preserve">Order dated 11.08.2023, DVC already filed investment proposal in respect of setting up of 11 KV infrastructure for Jharkhand consumers in valley area, as a Business Plan on 04.12.2023. </w:t>
      </w:r>
    </w:p>
    <w:p w14:paraId="25FEFD2B"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Therefore, </w:t>
      </w:r>
      <w:proofErr w:type="gramStart"/>
      <w:r w:rsidRPr="006849EE">
        <w:rPr>
          <w:rFonts w:asciiTheme="majorHAnsi" w:eastAsiaTheme="majorEastAsia" w:hAnsiTheme="majorHAnsi" w:cs="Arial"/>
          <w:color w:val="auto"/>
          <w:sz w:val="24"/>
          <w:szCs w:val="24"/>
        </w:rPr>
        <w:t>in light of</w:t>
      </w:r>
      <w:proofErr w:type="gramEnd"/>
      <w:r w:rsidRPr="006849EE">
        <w:rPr>
          <w:rFonts w:asciiTheme="majorHAnsi" w:eastAsiaTheme="majorEastAsia" w:hAnsiTheme="majorHAnsi" w:cs="Arial"/>
          <w:color w:val="auto"/>
          <w:sz w:val="24"/>
          <w:szCs w:val="24"/>
        </w:rPr>
        <w:t xml:space="preserve"> the </w:t>
      </w:r>
      <w:proofErr w:type="gramStart"/>
      <w:r w:rsidRPr="006849EE">
        <w:rPr>
          <w:rFonts w:asciiTheme="majorHAnsi" w:eastAsiaTheme="majorEastAsia" w:hAnsiTheme="majorHAnsi" w:cs="Arial"/>
          <w:color w:val="auto"/>
          <w:sz w:val="24"/>
          <w:szCs w:val="24"/>
        </w:rPr>
        <w:t>above ,</w:t>
      </w:r>
      <w:proofErr w:type="gramEnd"/>
      <w:r w:rsidRPr="006849EE">
        <w:rPr>
          <w:rFonts w:asciiTheme="majorHAnsi" w:eastAsiaTheme="majorEastAsia" w:hAnsiTheme="majorHAnsi" w:cs="Arial"/>
          <w:color w:val="auto"/>
          <w:sz w:val="24"/>
          <w:szCs w:val="24"/>
        </w:rPr>
        <w:t xml:space="preserve"> the actual capital cost incurred for effecting such supply of power to the consumers is meant for the consumers located in the state of Jharkhand and meant solely for 11 KV distribution power supply. DVC also herein submits respectfully that such capital expenditure has neither been claimed before CERC nor a part of the DPR as submitted for approval vide petition dated 04.12.2023 (last tariff petition submitted by DVC) as business plan which this Hon’ble Commission did not approve in the tariff order dated 30.09.2024. As such the claimed capital cost is not a part of the inter-state transmission network of DVC. </w:t>
      </w:r>
    </w:p>
    <w:p w14:paraId="42433044"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Rather these 11 KV assets are purely intra state T&amp;D </w:t>
      </w:r>
      <w:proofErr w:type="gramStart"/>
      <w:r w:rsidRPr="006849EE">
        <w:rPr>
          <w:rFonts w:asciiTheme="majorHAnsi" w:eastAsiaTheme="majorEastAsia" w:hAnsiTheme="majorHAnsi" w:cs="Arial"/>
          <w:color w:val="auto"/>
          <w:sz w:val="24"/>
          <w:szCs w:val="24"/>
        </w:rPr>
        <w:t>asset</w:t>
      </w:r>
      <w:proofErr w:type="gramEnd"/>
      <w:r w:rsidRPr="006849EE">
        <w:rPr>
          <w:rFonts w:asciiTheme="majorHAnsi" w:eastAsiaTheme="majorEastAsia" w:hAnsiTheme="majorHAnsi" w:cs="Arial"/>
          <w:color w:val="auto"/>
          <w:sz w:val="24"/>
          <w:szCs w:val="24"/>
        </w:rPr>
        <w:t xml:space="preserve">. Hence CERC does not have jurisdiction for determination of tariff for such assets. Jurisdiction for determination of tariff for such expenses naturally lies with the State Commission. On the same ground Hon’ble WBERC has approved the DPR of DVC for 11 KV infrastructure. Accordingly, the Annual Fixed Cost has been computed at actuals for such new addition of distribution assets in the DVC system has been considered as the input cost of the Distribution Activity of DVC in the State of Jharkhand.  </w:t>
      </w:r>
    </w:p>
    <w:p w14:paraId="269F6BC8" w14:textId="77777777" w:rsidR="00016BD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eastAsiaTheme="majorEastAsia" w:hAnsiTheme="majorHAnsi" w:cs="Arial"/>
          <w:color w:val="auto"/>
          <w:sz w:val="24"/>
          <w:szCs w:val="24"/>
        </w:rPr>
        <w:t>In</w:t>
      </w:r>
      <w:r w:rsidRPr="006849EE">
        <w:rPr>
          <w:rFonts w:asciiTheme="majorHAnsi" w:eastAsiaTheme="majorEastAsia" w:hAnsiTheme="majorHAnsi" w:cs="Arial"/>
          <w:b/>
          <w:bCs/>
          <w:color w:val="auto"/>
          <w:sz w:val="24"/>
          <w:szCs w:val="24"/>
        </w:rPr>
        <w:t xml:space="preserve"> </w:t>
      </w:r>
      <w:r w:rsidRPr="006849EE">
        <w:rPr>
          <w:rFonts w:asciiTheme="majorHAnsi" w:eastAsiaTheme="majorEastAsia" w:hAnsiTheme="majorHAnsi" w:cs="Arial"/>
          <w:color w:val="auto"/>
          <w:sz w:val="24"/>
          <w:szCs w:val="24"/>
        </w:rPr>
        <w:t>this context, it is also important to note that DVC is also creating 11 kV distribution infrastructure in the state of West Bengal and the Hon’ble WBERC has already approved the business plan for creation of necessary infrastructure in the West Bengal part and the associated cost of the infrastructure, as per the above proposal is also approved separately by WBERC in its tariff order dated 13.03.2024.</w:t>
      </w:r>
      <w:r w:rsidRPr="006849EE">
        <w:rPr>
          <w:rFonts w:asciiTheme="majorHAnsi" w:eastAsiaTheme="majorEastAsia" w:hAnsiTheme="majorHAnsi" w:cs="Arial"/>
          <w:color w:val="FF0000"/>
          <w:sz w:val="24"/>
          <w:szCs w:val="24"/>
        </w:rPr>
        <w:t xml:space="preserve"> </w:t>
      </w:r>
    </w:p>
    <w:p w14:paraId="683659EC" w14:textId="73124157" w:rsidR="00F15117" w:rsidRPr="006849EE" w:rsidRDefault="00016BD7" w:rsidP="000267F9">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proofErr w:type="gramStart"/>
      <w:r w:rsidRPr="006849EE">
        <w:rPr>
          <w:rFonts w:asciiTheme="majorHAnsi" w:eastAsiaTheme="majorEastAsia" w:hAnsiTheme="majorHAnsi" w:cs="Arial"/>
          <w:color w:val="auto"/>
          <w:sz w:val="24"/>
          <w:szCs w:val="24"/>
        </w:rPr>
        <w:t>In order to</w:t>
      </w:r>
      <w:proofErr w:type="gramEnd"/>
      <w:r w:rsidRPr="006849EE">
        <w:rPr>
          <w:rFonts w:asciiTheme="majorHAnsi" w:eastAsiaTheme="majorEastAsia" w:hAnsiTheme="majorHAnsi" w:cs="Arial"/>
          <w:color w:val="auto"/>
          <w:sz w:val="24"/>
          <w:szCs w:val="24"/>
        </w:rPr>
        <w:t xml:space="preserve"> avoid ambiguity between the consumers of the two states, it is requested that the Hon’ble Commission may kindly approve the above proposal and consider the 11 kV infrastructure cost separately (in line with the approach of Hon’ble </w:t>
      </w:r>
      <w:r w:rsidRPr="006849EE">
        <w:rPr>
          <w:rFonts w:asciiTheme="majorHAnsi" w:eastAsiaTheme="majorEastAsia" w:hAnsiTheme="majorHAnsi" w:cs="Arial"/>
          <w:color w:val="auto"/>
          <w:sz w:val="24"/>
          <w:szCs w:val="24"/>
        </w:rPr>
        <w:lastRenderedPageBreak/>
        <w:t xml:space="preserve">WBERC). In this context, it is also important to note that this infrastructure would result in additional sales for DVC to new 11 kV consumers and as such would not result in increase in cost of supply for other existing consumers. On the other hand, this would increase competition and provide alternate and affordable </w:t>
      </w:r>
      <w:proofErr w:type="gramStart"/>
      <w:r w:rsidRPr="006849EE">
        <w:rPr>
          <w:rFonts w:asciiTheme="majorHAnsi" w:eastAsiaTheme="majorEastAsia" w:hAnsiTheme="majorHAnsi" w:cs="Arial"/>
          <w:color w:val="auto"/>
          <w:sz w:val="24"/>
          <w:szCs w:val="24"/>
        </w:rPr>
        <w:t>option</w:t>
      </w:r>
      <w:proofErr w:type="gramEnd"/>
      <w:r w:rsidRPr="006849EE">
        <w:rPr>
          <w:rFonts w:asciiTheme="majorHAnsi" w:eastAsiaTheme="majorEastAsia" w:hAnsiTheme="majorHAnsi" w:cs="Arial"/>
          <w:color w:val="auto"/>
          <w:sz w:val="24"/>
          <w:szCs w:val="24"/>
        </w:rPr>
        <w:t xml:space="preserve"> for 24 x 7 quality power supply to the 11 kV consumers to their satisfaction and requirement in the license area, which is in accordance with Section 61(c), Section 60 and related relevant clauses of Electricity Act 2003.</w:t>
      </w:r>
    </w:p>
    <w:p w14:paraId="5B24D754" w14:textId="3378DE3B" w:rsidR="00F15117" w:rsidRPr="006849EE" w:rsidRDefault="00F15117" w:rsidP="00973017">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Based on the </w:t>
      </w:r>
      <w:r w:rsidRPr="006849EE">
        <w:rPr>
          <w:rFonts w:asciiTheme="majorHAnsi" w:hAnsiTheme="majorHAnsi" w:cs="Arial"/>
          <w:color w:val="auto"/>
          <w:sz w:val="24"/>
          <w:szCs w:val="24"/>
        </w:rPr>
        <w:t>actual</w:t>
      </w:r>
      <w:r w:rsidRPr="006849EE">
        <w:rPr>
          <w:rFonts w:asciiTheme="majorHAnsi" w:eastAsiaTheme="majorEastAsia" w:hAnsiTheme="majorHAnsi" w:cs="Arial"/>
          <w:color w:val="auto"/>
          <w:sz w:val="24"/>
          <w:szCs w:val="24"/>
        </w:rPr>
        <w:t xml:space="preserve"> cost, the estimation for the projected cost for 11kV distribution asset creation has been submitted for ARR of</w:t>
      </w:r>
      <w:r w:rsidR="004075E5" w:rsidRPr="006849EE">
        <w:rPr>
          <w:rFonts w:asciiTheme="majorHAnsi" w:eastAsiaTheme="majorEastAsia" w:hAnsiTheme="majorHAnsi" w:cs="Arial"/>
          <w:color w:val="auto"/>
          <w:sz w:val="24"/>
          <w:szCs w:val="24"/>
        </w:rPr>
        <w:t xml:space="preserve"> period</w:t>
      </w:r>
      <w:r w:rsidRPr="006849EE">
        <w:rPr>
          <w:rFonts w:asciiTheme="majorHAnsi" w:eastAsiaTheme="majorEastAsia" w:hAnsiTheme="majorHAnsi" w:cs="Arial"/>
          <w:color w:val="auto"/>
          <w:sz w:val="24"/>
          <w:szCs w:val="24"/>
        </w:rPr>
        <w:t xml:space="preserve"> FY 202</w:t>
      </w:r>
      <w:r w:rsidR="004075E5" w:rsidRPr="006849EE">
        <w:rPr>
          <w:rFonts w:asciiTheme="majorHAnsi" w:eastAsiaTheme="majorEastAsia" w:hAnsiTheme="majorHAnsi" w:cs="Arial"/>
          <w:color w:val="auto"/>
          <w:sz w:val="24"/>
          <w:szCs w:val="24"/>
        </w:rPr>
        <w:t>6</w:t>
      </w:r>
      <w:r w:rsidRPr="006849EE">
        <w:rPr>
          <w:rFonts w:asciiTheme="majorHAnsi" w:eastAsiaTheme="majorEastAsia" w:hAnsiTheme="majorHAnsi" w:cs="Arial"/>
          <w:color w:val="auto"/>
          <w:sz w:val="24"/>
          <w:szCs w:val="24"/>
        </w:rPr>
        <w:t>-2</w:t>
      </w:r>
      <w:r w:rsidR="004075E5" w:rsidRPr="006849EE">
        <w:rPr>
          <w:rFonts w:asciiTheme="majorHAnsi" w:eastAsiaTheme="majorEastAsia" w:hAnsiTheme="majorHAnsi" w:cs="Arial"/>
          <w:color w:val="auto"/>
          <w:sz w:val="24"/>
          <w:szCs w:val="24"/>
        </w:rPr>
        <w:t>7 to FY 2030-31</w:t>
      </w:r>
      <w:r w:rsidRPr="006849EE">
        <w:rPr>
          <w:rFonts w:asciiTheme="majorHAnsi" w:eastAsiaTheme="majorEastAsia" w:hAnsiTheme="majorHAnsi" w:cs="Arial"/>
          <w:color w:val="auto"/>
          <w:sz w:val="24"/>
          <w:szCs w:val="24"/>
        </w:rPr>
        <w:t xml:space="preserve">. A </w:t>
      </w:r>
      <w:proofErr w:type="gramStart"/>
      <w:r w:rsidRPr="006849EE">
        <w:rPr>
          <w:rFonts w:asciiTheme="majorHAnsi" w:eastAsiaTheme="majorEastAsia" w:hAnsiTheme="majorHAnsi" w:cs="Arial"/>
          <w:color w:val="auto"/>
          <w:sz w:val="24"/>
          <w:szCs w:val="24"/>
        </w:rPr>
        <w:t>detail</w:t>
      </w:r>
      <w:proofErr w:type="gramEnd"/>
      <w:r w:rsidRPr="006849EE">
        <w:rPr>
          <w:rFonts w:asciiTheme="majorHAnsi" w:eastAsiaTheme="majorEastAsia" w:hAnsiTheme="majorHAnsi" w:cs="Arial"/>
          <w:color w:val="auto"/>
          <w:sz w:val="24"/>
          <w:szCs w:val="24"/>
        </w:rPr>
        <w:t xml:space="preserve"> computation sheet for the projection of the cost associated with the 11kV distribution asset creation is submitted as </w:t>
      </w:r>
      <w:r w:rsidRPr="006849EE">
        <w:rPr>
          <w:rFonts w:asciiTheme="majorHAnsi" w:eastAsiaTheme="majorEastAsia" w:hAnsiTheme="majorHAnsi" w:cs="Arial"/>
          <w:b/>
          <w:bCs/>
          <w:color w:val="auto"/>
          <w:sz w:val="24"/>
          <w:szCs w:val="24"/>
        </w:rPr>
        <w:t>A</w:t>
      </w:r>
      <w:r w:rsidR="00197BF7" w:rsidRPr="006849EE">
        <w:rPr>
          <w:rFonts w:asciiTheme="majorHAnsi" w:eastAsiaTheme="majorEastAsia" w:hAnsiTheme="majorHAnsi" w:cs="Arial"/>
          <w:b/>
          <w:bCs/>
          <w:color w:val="auto"/>
          <w:sz w:val="24"/>
          <w:szCs w:val="24"/>
        </w:rPr>
        <w:t>NNEXURE-6</w:t>
      </w:r>
      <w:r w:rsidR="00BC7C03" w:rsidRPr="006849EE">
        <w:rPr>
          <w:rFonts w:asciiTheme="majorHAnsi" w:eastAsiaTheme="majorEastAsia" w:hAnsiTheme="majorHAnsi" w:cs="Arial"/>
          <w:color w:val="auto"/>
          <w:sz w:val="24"/>
          <w:szCs w:val="24"/>
        </w:rPr>
        <w:t>.</w:t>
      </w:r>
    </w:p>
    <w:p w14:paraId="2F659027" w14:textId="77777777" w:rsidR="00F15117" w:rsidRPr="006849EE" w:rsidRDefault="00F15117" w:rsidP="00F15117">
      <w:pPr>
        <w:ind w:left="1418"/>
        <w:contextualSpacing/>
        <w:rPr>
          <w:rFonts w:asciiTheme="majorHAnsi" w:eastAsiaTheme="majorEastAsia" w:hAnsiTheme="majorHAnsi" w:cs="Arial"/>
          <w:color w:val="auto"/>
          <w:sz w:val="24"/>
          <w:szCs w:val="24"/>
        </w:rPr>
      </w:pPr>
    </w:p>
    <w:p w14:paraId="6657EB74" w14:textId="47C9EED6" w:rsidR="00F15117" w:rsidRPr="006849EE" w:rsidRDefault="00F15117" w:rsidP="00973017">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AFC for the 11 KV assets have been computed based on</w:t>
      </w:r>
      <w:r w:rsidR="00797CBE" w:rsidRPr="006849EE">
        <w:rPr>
          <w:rFonts w:asciiTheme="majorHAnsi" w:eastAsiaTheme="majorEastAsia" w:hAnsiTheme="majorHAnsi" w:cs="Arial"/>
          <w:color w:val="auto"/>
          <w:sz w:val="24"/>
          <w:szCs w:val="24"/>
        </w:rPr>
        <w:t xml:space="preserve"> applicable regulations and</w:t>
      </w:r>
      <w:r w:rsidRPr="006849EE">
        <w:rPr>
          <w:rFonts w:asciiTheme="majorHAnsi" w:eastAsiaTheme="majorEastAsia" w:hAnsiTheme="majorHAnsi" w:cs="Arial"/>
          <w:color w:val="auto"/>
          <w:sz w:val="24"/>
          <w:szCs w:val="24"/>
        </w:rPr>
        <w:t xml:space="preserve"> the following assumptions: </w:t>
      </w:r>
    </w:p>
    <w:p w14:paraId="55F09F53" w14:textId="50731549" w:rsidR="00F15117" w:rsidRPr="006849EE" w:rsidRDefault="00F15117" w:rsidP="00B90377">
      <w:pPr>
        <w:numPr>
          <w:ilvl w:val="0"/>
          <w:numId w:val="14"/>
        </w:numPr>
        <w:spacing w:line="360" w:lineRule="auto"/>
        <w:ind w:left="2410" w:hanging="540"/>
        <w:contextualSpacing/>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Interest Rate</w:t>
      </w:r>
      <w:r w:rsidR="00797CBE" w:rsidRPr="006849EE">
        <w:rPr>
          <w:rFonts w:asciiTheme="majorHAnsi" w:eastAsiaTheme="majorEastAsia" w:hAnsiTheme="majorHAnsi" w:cs="Arial"/>
          <w:color w:val="auto"/>
          <w:sz w:val="24"/>
          <w:szCs w:val="24"/>
        </w:rPr>
        <w:t xml:space="preserve"> for Loan</w:t>
      </w:r>
      <w:r w:rsidRPr="006849EE">
        <w:rPr>
          <w:rFonts w:asciiTheme="majorHAnsi" w:eastAsiaTheme="majorEastAsia" w:hAnsiTheme="majorHAnsi" w:cs="Arial"/>
          <w:color w:val="auto"/>
          <w:sz w:val="24"/>
          <w:szCs w:val="24"/>
        </w:rPr>
        <w:t xml:space="preserve"> – </w:t>
      </w:r>
      <w:r w:rsidR="00957A05" w:rsidRPr="006849EE">
        <w:rPr>
          <w:rFonts w:asciiTheme="majorHAnsi" w:eastAsiaTheme="majorEastAsia" w:hAnsiTheme="majorHAnsi" w:cs="Arial"/>
          <w:color w:val="auto"/>
          <w:sz w:val="24"/>
          <w:szCs w:val="24"/>
        </w:rPr>
        <w:t>7.84</w:t>
      </w:r>
      <w:r w:rsidRPr="006849EE">
        <w:rPr>
          <w:rFonts w:asciiTheme="majorHAnsi" w:eastAsiaTheme="majorEastAsia" w:hAnsiTheme="majorHAnsi" w:cs="Arial"/>
          <w:color w:val="auto"/>
          <w:sz w:val="24"/>
          <w:szCs w:val="24"/>
        </w:rPr>
        <w:t>%</w:t>
      </w:r>
      <w:r w:rsidR="00957A05" w:rsidRPr="006849EE">
        <w:rPr>
          <w:rFonts w:asciiTheme="majorHAnsi" w:eastAsiaTheme="majorEastAsia" w:hAnsiTheme="majorHAnsi" w:cs="Arial"/>
          <w:color w:val="auto"/>
          <w:sz w:val="24"/>
          <w:szCs w:val="24"/>
        </w:rPr>
        <w:t xml:space="preserve"> (actual interest rate for FY 2024-25</w:t>
      </w:r>
      <w:proofErr w:type="gramStart"/>
      <w:r w:rsidR="00957A05" w:rsidRPr="006849EE">
        <w:rPr>
          <w:rFonts w:asciiTheme="majorHAnsi" w:eastAsiaTheme="majorEastAsia" w:hAnsiTheme="majorHAnsi" w:cs="Arial"/>
          <w:color w:val="auto"/>
          <w:sz w:val="24"/>
          <w:szCs w:val="24"/>
        </w:rPr>
        <w:t>)</w:t>
      </w:r>
      <w:r w:rsidRPr="006849EE">
        <w:rPr>
          <w:rFonts w:asciiTheme="majorHAnsi" w:eastAsiaTheme="majorEastAsia" w:hAnsiTheme="majorHAnsi" w:cs="Arial"/>
          <w:color w:val="auto"/>
          <w:sz w:val="24"/>
          <w:szCs w:val="24"/>
        </w:rPr>
        <w:t>;</w:t>
      </w:r>
      <w:proofErr w:type="gramEnd"/>
    </w:p>
    <w:p w14:paraId="0B1D195C" w14:textId="36473125" w:rsidR="00F15117" w:rsidRPr="006849EE" w:rsidRDefault="00F15117" w:rsidP="00B90377">
      <w:pPr>
        <w:numPr>
          <w:ilvl w:val="0"/>
          <w:numId w:val="14"/>
        </w:numPr>
        <w:spacing w:line="360" w:lineRule="auto"/>
        <w:ind w:left="2410" w:hanging="540"/>
        <w:contextualSpacing/>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Interest rate on Working Capital = 12.</w:t>
      </w:r>
      <w:r w:rsidR="00957A05" w:rsidRPr="006849EE">
        <w:rPr>
          <w:rFonts w:asciiTheme="majorHAnsi" w:eastAsiaTheme="majorEastAsia" w:hAnsiTheme="majorHAnsi" w:cs="Arial"/>
          <w:color w:val="auto"/>
          <w:sz w:val="24"/>
          <w:szCs w:val="24"/>
        </w:rPr>
        <w:t>2</w:t>
      </w:r>
      <w:r w:rsidRPr="006849EE">
        <w:rPr>
          <w:rFonts w:asciiTheme="majorHAnsi" w:eastAsiaTheme="majorEastAsia" w:hAnsiTheme="majorHAnsi" w:cs="Arial"/>
          <w:color w:val="auto"/>
          <w:sz w:val="24"/>
          <w:szCs w:val="24"/>
        </w:rPr>
        <w:t>5%</w:t>
      </w:r>
      <w:r w:rsidR="00D71598" w:rsidRPr="006849EE">
        <w:rPr>
          <w:rFonts w:asciiTheme="majorHAnsi" w:eastAsiaTheme="majorEastAsia" w:hAnsiTheme="majorHAnsi" w:cs="Arial"/>
          <w:color w:val="auto"/>
          <w:sz w:val="24"/>
          <w:szCs w:val="24"/>
        </w:rPr>
        <w:t xml:space="preserve"> </w:t>
      </w:r>
      <w:r w:rsidR="00BD6A15" w:rsidRPr="006849EE">
        <w:rPr>
          <w:rFonts w:asciiTheme="majorHAnsi" w:eastAsiaTheme="majorEastAsia" w:hAnsiTheme="majorHAnsi" w:cs="Arial"/>
          <w:color w:val="auto"/>
          <w:sz w:val="24"/>
          <w:szCs w:val="24"/>
        </w:rPr>
        <w:t>(as per applicable regulations</w:t>
      </w:r>
      <w:proofErr w:type="gramStart"/>
      <w:r w:rsidR="00BD6A15" w:rsidRPr="006849EE">
        <w:rPr>
          <w:rFonts w:asciiTheme="majorHAnsi" w:eastAsiaTheme="majorEastAsia" w:hAnsiTheme="majorHAnsi" w:cs="Arial"/>
          <w:color w:val="auto"/>
          <w:sz w:val="24"/>
          <w:szCs w:val="24"/>
        </w:rPr>
        <w:t>)</w:t>
      </w:r>
      <w:r w:rsidRPr="006849EE">
        <w:rPr>
          <w:rFonts w:asciiTheme="majorHAnsi" w:eastAsiaTheme="majorEastAsia" w:hAnsiTheme="majorHAnsi" w:cs="Arial"/>
          <w:color w:val="auto"/>
          <w:sz w:val="24"/>
          <w:szCs w:val="24"/>
        </w:rPr>
        <w:t>;</w:t>
      </w:r>
      <w:proofErr w:type="gramEnd"/>
      <w:r w:rsidRPr="006849EE">
        <w:rPr>
          <w:rFonts w:asciiTheme="majorHAnsi" w:eastAsiaTheme="majorEastAsia" w:hAnsiTheme="majorHAnsi" w:cs="Arial"/>
          <w:color w:val="auto"/>
          <w:sz w:val="24"/>
          <w:szCs w:val="24"/>
        </w:rPr>
        <w:t xml:space="preserve"> </w:t>
      </w:r>
    </w:p>
    <w:p w14:paraId="7662889A" w14:textId="20A1E6B9" w:rsidR="00F15117" w:rsidRPr="006849EE" w:rsidRDefault="00F15117" w:rsidP="00B90377">
      <w:pPr>
        <w:numPr>
          <w:ilvl w:val="0"/>
          <w:numId w:val="14"/>
        </w:numPr>
        <w:spacing w:line="360" w:lineRule="auto"/>
        <w:ind w:left="2410" w:hanging="540"/>
        <w:contextualSpacing/>
        <w:jc w:val="both"/>
        <w:rPr>
          <w:rFonts w:asciiTheme="majorHAnsi" w:eastAsiaTheme="majorEastAsia" w:hAnsiTheme="majorHAnsi" w:cs="Arial"/>
          <w:color w:val="000000" w:themeColor="text1"/>
          <w:sz w:val="24"/>
          <w:szCs w:val="24"/>
        </w:rPr>
      </w:pPr>
      <w:r w:rsidRPr="006849EE">
        <w:rPr>
          <w:rFonts w:asciiTheme="majorHAnsi" w:eastAsiaTheme="majorEastAsia" w:hAnsiTheme="majorHAnsi" w:cs="Arial"/>
          <w:color w:val="000000" w:themeColor="text1"/>
          <w:sz w:val="24"/>
          <w:szCs w:val="24"/>
        </w:rPr>
        <w:t>Depreciation = 7.</w:t>
      </w:r>
      <w:r w:rsidR="006A2B4A" w:rsidRPr="006849EE">
        <w:rPr>
          <w:rFonts w:asciiTheme="majorHAnsi" w:eastAsiaTheme="majorEastAsia" w:hAnsiTheme="majorHAnsi" w:cs="Arial"/>
          <w:color w:val="000000" w:themeColor="text1"/>
          <w:sz w:val="24"/>
          <w:szCs w:val="24"/>
        </w:rPr>
        <w:t>84</w:t>
      </w:r>
      <w:proofErr w:type="gramStart"/>
      <w:r w:rsidRPr="006849EE">
        <w:rPr>
          <w:rFonts w:asciiTheme="majorHAnsi" w:eastAsiaTheme="majorEastAsia" w:hAnsiTheme="majorHAnsi" w:cs="Arial"/>
          <w:color w:val="000000" w:themeColor="text1"/>
          <w:sz w:val="24"/>
          <w:szCs w:val="24"/>
        </w:rPr>
        <w:t>%</w:t>
      </w:r>
      <w:r w:rsidR="006A2B4A" w:rsidRPr="006849EE">
        <w:rPr>
          <w:rFonts w:asciiTheme="majorHAnsi" w:eastAsiaTheme="majorEastAsia" w:hAnsiTheme="majorHAnsi" w:cs="Arial"/>
          <w:color w:val="000000" w:themeColor="text1"/>
          <w:sz w:val="24"/>
          <w:szCs w:val="24"/>
        </w:rPr>
        <w:t>(</w:t>
      </w:r>
      <w:proofErr w:type="gramEnd"/>
      <w:r w:rsidR="006A2B4A" w:rsidRPr="006849EE">
        <w:rPr>
          <w:rFonts w:asciiTheme="majorHAnsi" w:eastAsiaTheme="majorEastAsia" w:hAnsiTheme="majorHAnsi" w:cs="Arial"/>
          <w:color w:val="000000" w:themeColor="text1"/>
          <w:sz w:val="24"/>
          <w:szCs w:val="24"/>
        </w:rPr>
        <w:t>CAG rate for depreciation</w:t>
      </w:r>
      <w:proofErr w:type="gramStart"/>
      <w:r w:rsidR="006A2B4A" w:rsidRPr="006849EE">
        <w:rPr>
          <w:rFonts w:asciiTheme="majorHAnsi" w:eastAsiaTheme="majorEastAsia" w:hAnsiTheme="majorHAnsi" w:cs="Arial"/>
          <w:color w:val="000000" w:themeColor="text1"/>
          <w:sz w:val="24"/>
          <w:szCs w:val="24"/>
        </w:rPr>
        <w:t>)</w:t>
      </w:r>
      <w:r w:rsidRPr="006849EE">
        <w:rPr>
          <w:rFonts w:asciiTheme="majorHAnsi" w:eastAsiaTheme="majorEastAsia" w:hAnsiTheme="majorHAnsi" w:cs="Arial"/>
          <w:color w:val="000000" w:themeColor="text1"/>
          <w:sz w:val="24"/>
          <w:szCs w:val="24"/>
        </w:rPr>
        <w:t>;</w:t>
      </w:r>
      <w:proofErr w:type="gramEnd"/>
      <w:r w:rsidRPr="006849EE">
        <w:rPr>
          <w:rFonts w:asciiTheme="majorHAnsi" w:eastAsiaTheme="majorEastAsia" w:hAnsiTheme="majorHAnsi" w:cs="Arial"/>
          <w:color w:val="000000" w:themeColor="text1"/>
          <w:sz w:val="24"/>
          <w:szCs w:val="24"/>
        </w:rPr>
        <w:t xml:space="preserve"> </w:t>
      </w:r>
    </w:p>
    <w:p w14:paraId="7D6E9E2A" w14:textId="6F114FD7" w:rsidR="00F15117" w:rsidRPr="006849EE" w:rsidRDefault="00F15117" w:rsidP="00B90377">
      <w:pPr>
        <w:numPr>
          <w:ilvl w:val="0"/>
          <w:numId w:val="14"/>
        </w:numPr>
        <w:spacing w:line="360" w:lineRule="auto"/>
        <w:ind w:left="2410" w:hanging="540"/>
        <w:contextualSpacing/>
        <w:jc w:val="both"/>
        <w:rPr>
          <w:rFonts w:asciiTheme="majorHAnsi" w:eastAsiaTheme="majorEastAsia" w:hAnsiTheme="majorHAnsi" w:cs="Arial"/>
          <w:color w:val="000000" w:themeColor="text1"/>
          <w:sz w:val="24"/>
          <w:szCs w:val="24"/>
        </w:rPr>
      </w:pPr>
      <w:r w:rsidRPr="006849EE">
        <w:rPr>
          <w:rFonts w:asciiTheme="majorHAnsi" w:eastAsiaTheme="majorEastAsia" w:hAnsiTheme="majorHAnsi" w:cs="Arial"/>
          <w:color w:val="000000" w:themeColor="text1"/>
          <w:sz w:val="24"/>
          <w:szCs w:val="24"/>
        </w:rPr>
        <w:t xml:space="preserve">O&amp;M </w:t>
      </w:r>
      <w:r w:rsidR="00FC7233" w:rsidRPr="006849EE">
        <w:rPr>
          <w:rFonts w:asciiTheme="majorHAnsi" w:eastAsiaTheme="majorEastAsia" w:hAnsiTheme="majorHAnsi" w:cs="Arial"/>
          <w:color w:val="000000" w:themeColor="text1"/>
          <w:sz w:val="24"/>
          <w:szCs w:val="24"/>
        </w:rPr>
        <w:t>cost</w:t>
      </w:r>
      <w:r w:rsidR="006715E8" w:rsidRPr="006849EE">
        <w:rPr>
          <w:rFonts w:asciiTheme="majorHAnsi" w:eastAsiaTheme="majorEastAsia" w:hAnsiTheme="majorHAnsi" w:cs="Arial"/>
          <w:color w:val="000000" w:themeColor="text1"/>
          <w:sz w:val="24"/>
          <w:szCs w:val="24"/>
        </w:rPr>
        <w:t xml:space="preserve"> – </w:t>
      </w:r>
      <w:r w:rsidR="00FE0142" w:rsidRPr="006849EE">
        <w:rPr>
          <w:rFonts w:asciiTheme="majorHAnsi" w:eastAsiaTheme="majorEastAsia" w:hAnsiTheme="majorHAnsi" w:cs="Arial"/>
          <w:color w:val="000000" w:themeColor="text1"/>
          <w:sz w:val="24"/>
          <w:szCs w:val="24"/>
        </w:rPr>
        <w:t>DVC submits that the O&amp;M cost has been projected by applying a 5% annual escalation over the actual cost booked for FY 2024–25. As the project is in its initial stage, the recorded cost for FY 2024–25 is significantly lower than expected normative levels.</w:t>
      </w:r>
      <w:r w:rsidR="00D4418B" w:rsidRPr="006849EE">
        <w:rPr>
          <w:rFonts w:asciiTheme="majorHAnsi" w:hAnsiTheme="majorHAnsi"/>
          <w:color w:val="000000" w:themeColor="text1"/>
          <w:sz w:val="24"/>
          <w:szCs w:val="24"/>
        </w:rPr>
        <w:t xml:space="preserve"> </w:t>
      </w:r>
      <w:r w:rsidR="00D4418B" w:rsidRPr="006849EE">
        <w:rPr>
          <w:rFonts w:asciiTheme="majorHAnsi" w:eastAsiaTheme="majorEastAsia" w:hAnsiTheme="majorHAnsi" w:cs="Arial"/>
          <w:color w:val="000000" w:themeColor="text1"/>
          <w:sz w:val="24"/>
          <w:szCs w:val="24"/>
        </w:rPr>
        <w:t>DVC craves leave to rev</w:t>
      </w:r>
      <w:r w:rsidR="00F214E2" w:rsidRPr="006849EE">
        <w:rPr>
          <w:rFonts w:asciiTheme="majorHAnsi" w:eastAsiaTheme="majorEastAsia" w:hAnsiTheme="majorHAnsi" w:cs="Arial"/>
          <w:color w:val="000000" w:themeColor="text1"/>
          <w:sz w:val="24"/>
          <w:szCs w:val="24"/>
        </w:rPr>
        <w:t xml:space="preserve">ise its submission and </w:t>
      </w:r>
      <w:r w:rsidR="00B571D4" w:rsidRPr="006849EE">
        <w:rPr>
          <w:rFonts w:asciiTheme="majorHAnsi" w:eastAsiaTheme="majorEastAsia" w:hAnsiTheme="majorHAnsi" w:cs="Arial"/>
          <w:color w:val="000000" w:themeColor="text1"/>
          <w:sz w:val="24"/>
          <w:szCs w:val="24"/>
        </w:rPr>
        <w:t xml:space="preserve">to </w:t>
      </w:r>
      <w:r w:rsidR="00F214E2" w:rsidRPr="006849EE">
        <w:rPr>
          <w:rFonts w:asciiTheme="majorHAnsi" w:eastAsiaTheme="majorEastAsia" w:hAnsiTheme="majorHAnsi" w:cs="Arial"/>
          <w:color w:val="000000" w:themeColor="text1"/>
          <w:sz w:val="24"/>
          <w:szCs w:val="24"/>
        </w:rPr>
        <w:t xml:space="preserve">allow the </w:t>
      </w:r>
      <w:r w:rsidR="00B571D4" w:rsidRPr="006849EE">
        <w:rPr>
          <w:rFonts w:asciiTheme="majorHAnsi" w:eastAsiaTheme="majorEastAsia" w:hAnsiTheme="majorHAnsi" w:cs="Arial"/>
          <w:color w:val="000000" w:themeColor="text1"/>
          <w:sz w:val="24"/>
          <w:szCs w:val="24"/>
        </w:rPr>
        <w:t xml:space="preserve">O&amp;M cost on </w:t>
      </w:r>
      <w:r w:rsidR="00F214E2" w:rsidRPr="006849EE">
        <w:rPr>
          <w:rFonts w:asciiTheme="majorHAnsi" w:eastAsiaTheme="majorEastAsia" w:hAnsiTheme="majorHAnsi" w:cs="Arial"/>
          <w:color w:val="000000" w:themeColor="text1"/>
          <w:sz w:val="24"/>
          <w:szCs w:val="24"/>
        </w:rPr>
        <w:t xml:space="preserve">actual </w:t>
      </w:r>
      <w:r w:rsidR="00B571D4" w:rsidRPr="006849EE">
        <w:rPr>
          <w:rFonts w:asciiTheme="majorHAnsi" w:eastAsiaTheme="majorEastAsia" w:hAnsiTheme="majorHAnsi" w:cs="Arial"/>
          <w:color w:val="000000" w:themeColor="text1"/>
          <w:sz w:val="24"/>
          <w:szCs w:val="24"/>
        </w:rPr>
        <w:t>basis</w:t>
      </w:r>
      <w:r w:rsidR="00F214E2" w:rsidRPr="006849EE">
        <w:rPr>
          <w:rFonts w:asciiTheme="majorHAnsi" w:eastAsiaTheme="majorEastAsia" w:hAnsiTheme="majorHAnsi" w:cs="Arial"/>
          <w:color w:val="000000" w:themeColor="text1"/>
          <w:sz w:val="24"/>
          <w:szCs w:val="24"/>
        </w:rPr>
        <w:t xml:space="preserve"> in future years</w:t>
      </w:r>
      <w:r w:rsidR="00B571D4" w:rsidRPr="006849EE">
        <w:rPr>
          <w:rFonts w:asciiTheme="majorHAnsi" w:eastAsiaTheme="majorEastAsia" w:hAnsiTheme="majorHAnsi" w:cs="Arial"/>
          <w:color w:val="000000" w:themeColor="text1"/>
          <w:sz w:val="24"/>
          <w:szCs w:val="24"/>
        </w:rPr>
        <w:t>,</w:t>
      </w:r>
      <w:r w:rsidR="00D4418B" w:rsidRPr="006849EE">
        <w:rPr>
          <w:rFonts w:asciiTheme="majorHAnsi" w:eastAsiaTheme="majorEastAsia" w:hAnsiTheme="majorHAnsi" w:cs="Arial"/>
          <w:color w:val="000000" w:themeColor="text1"/>
          <w:sz w:val="24"/>
          <w:szCs w:val="24"/>
        </w:rPr>
        <w:t xml:space="preserve"> rather than relying on the projected figures, as the base year (FY 2024–25) cost is abnormally low due to the project being in its initial stage</w:t>
      </w:r>
      <w:proofErr w:type="gramStart"/>
      <w:r w:rsidR="00D4418B" w:rsidRPr="006849EE">
        <w:rPr>
          <w:rFonts w:asciiTheme="majorHAnsi" w:eastAsiaTheme="majorEastAsia" w:hAnsiTheme="majorHAnsi" w:cs="Arial"/>
          <w:color w:val="000000" w:themeColor="text1"/>
          <w:sz w:val="24"/>
          <w:szCs w:val="24"/>
        </w:rPr>
        <w:t>.</w:t>
      </w:r>
      <w:r w:rsidRPr="006849EE">
        <w:rPr>
          <w:rFonts w:asciiTheme="majorHAnsi" w:eastAsiaTheme="majorEastAsia" w:hAnsiTheme="majorHAnsi" w:cs="Arial"/>
          <w:color w:val="000000" w:themeColor="text1"/>
          <w:sz w:val="24"/>
          <w:szCs w:val="24"/>
        </w:rPr>
        <w:t>;</w:t>
      </w:r>
      <w:proofErr w:type="gramEnd"/>
    </w:p>
    <w:p w14:paraId="17B6ABB2" w14:textId="07C6AF24" w:rsidR="00F15117" w:rsidRPr="006849EE" w:rsidRDefault="00F15117" w:rsidP="00B90377">
      <w:pPr>
        <w:numPr>
          <w:ilvl w:val="0"/>
          <w:numId w:val="14"/>
        </w:numPr>
        <w:spacing w:line="360" w:lineRule="auto"/>
        <w:ind w:left="2410" w:hanging="540"/>
        <w:contextualSpacing/>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Return on </w:t>
      </w:r>
      <w:proofErr w:type="gramStart"/>
      <w:r w:rsidRPr="006849EE">
        <w:rPr>
          <w:rFonts w:asciiTheme="majorHAnsi" w:eastAsiaTheme="majorEastAsia" w:hAnsiTheme="majorHAnsi" w:cs="Arial"/>
          <w:color w:val="auto"/>
          <w:sz w:val="24"/>
          <w:szCs w:val="24"/>
        </w:rPr>
        <w:t>Equity @</w:t>
      </w:r>
      <w:proofErr w:type="gramEnd"/>
      <w:r w:rsidRPr="006849EE">
        <w:rPr>
          <w:rFonts w:asciiTheme="majorHAnsi" w:eastAsiaTheme="majorEastAsia" w:hAnsiTheme="majorHAnsi" w:cs="Arial"/>
          <w:color w:val="auto"/>
          <w:sz w:val="24"/>
          <w:szCs w:val="24"/>
        </w:rPr>
        <w:t xml:space="preserve"> 1</w:t>
      </w:r>
      <w:r w:rsidR="00D9705A" w:rsidRPr="006849EE">
        <w:rPr>
          <w:rFonts w:asciiTheme="majorHAnsi" w:eastAsiaTheme="majorEastAsia" w:hAnsiTheme="majorHAnsi" w:cs="Arial"/>
          <w:color w:val="auto"/>
          <w:sz w:val="24"/>
          <w:szCs w:val="24"/>
        </w:rPr>
        <w:t>5</w:t>
      </w:r>
      <w:r w:rsidRPr="006849EE">
        <w:rPr>
          <w:rFonts w:asciiTheme="majorHAnsi" w:eastAsiaTheme="majorEastAsia" w:hAnsiTheme="majorHAnsi" w:cs="Arial"/>
          <w:color w:val="auto"/>
          <w:sz w:val="24"/>
          <w:szCs w:val="24"/>
        </w:rPr>
        <w:t xml:space="preserve">% </w:t>
      </w:r>
      <w:r w:rsidR="00D9705A" w:rsidRPr="006849EE">
        <w:rPr>
          <w:rFonts w:asciiTheme="majorHAnsi" w:eastAsiaTheme="majorEastAsia" w:hAnsiTheme="majorHAnsi" w:cs="Arial"/>
          <w:color w:val="auto"/>
          <w:sz w:val="24"/>
          <w:szCs w:val="24"/>
        </w:rPr>
        <w:t>(</w:t>
      </w:r>
      <w:r w:rsidRPr="006849EE">
        <w:rPr>
          <w:rFonts w:asciiTheme="majorHAnsi" w:eastAsiaTheme="majorEastAsia" w:hAnsiTheme="majorHAnsi" w:cs="Arial"/>
          <w:color w:val="auto"/>
          <w:sz w:val="24"/>
          <w:szCs w:val="24"/>
        </w:rPr>
        <w:t>as per regulation 10.19 of JSERC Tariff Regulations, 202</w:t>
      </w:r>
      <w:r w:rsidR="00D9705A" w:rsidRPr="006849EE">
        <w:rPr>
          <w:rFonts w:asciiTheme="majorHAnsi" w:eastAsiaTheme="majorEastAsia" w:hAnsiTheme="majorHAnsi" w:cs="Arial"/>
          <w:color w:val="auto"/>
          <w:sz w:val="24"/>
          <w:szCs w:val="24"/>
        </w:rPr>
        <w:t>5</w:t>
      </w:r>
      <w:r w:rsidR="00AE7FF7" w:rsidRPr="006849EE">
        <w:rPr>
          <w:rFonts w:asciiTheme="majorHAnsi" w:eastAsiaTheme="majorEastAsia" w:hAnsiTheme="majorHAnsi" w:cs="Arial"/>
          <w:color w:val="auto"/>
          <w:sz w:val="24"/>
          <w:szCs w:val="24"/>
        </w:rPr>
        <w:t>)</w:t>
      </w:r>
      <w:r w:rsidRPr="006849EE">
        <w:rPr>
          <w:rFonts w:asciiTheme="majorHAnsi" w:eastAsiaTheme="majorEastAsia" w:hAnsiTheme="majorHAnsi" w:cs="Arial"/>
          <w:color w:val="auto"/>
          <w:sz w:val="24"/>
          <w:szCs w:val="24"/>
        </w:rPr>
        <w:t xml:space="preserve">. </w:t>
      </w:r>
    </w:p>
    <w:p w14:paraId="1C59F337" w14:textId="77777777" w:rsidR="00F15117" w:rsidRPr="006849EE" w:rsidRDefault="00F15117" w:rsidP="00F15117">
      <w:pPr>
        <w:spacing w:line="360" w:lineRule="auto"/>
        <w:jc w:val="both"/>
        <w:rPr>
          <w:rFonts w:asciiTheme="majorHAnsi" w:eastAsiaTheme="majorEastAsia" w:hAnsiTheme="majorHAnsi" w:cs="Arial"/>
          <w:color w:val="auto"/>
          <w:sz w:val="24"/>
          <w:szCs w:val="24"/>
        </w:rPr>
      </w:pPr>
    </w:p>
    <w:p w14:paraId="41D44C76" w14:textId="77777777" w:rsidR="00F15117" w:rsidRPr="006849EE" w:rsidRDefault="00F15117" w:rsidP="00B90377">
      <w:pPr>
        <w:pStyle w:val="ListParagraph"/>
        <w:numPr>
          <w:ilvl w:val="0"/>
          <w:numId w:val="11"/>
        </w:numPr>
        <w:spacing w:line="360" w:lineRule="auto"/>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b/>
          <w:bCs/>
          <w:color w:val="auto"/>
          <w:sz w:val="24"/>
          <w:szCs w:val="24"/>
        </w:rPr>
        <w:t xml:space="preserve">Interest </w:t>
      </w:r>
      <w:proofErr w:type="gramStart"/>
      <w:r w:rsidRPr="006849EE">
        <w:rPr>
          <w:rFonts w:asciiTheme="majorHAnsi" w:eastAsiaTheme="majorEastAsia" w:hAnsiTheme="majorHAnsi" w:cs="Arial"/>
          <w:b/>
          <w:bCs/>
          <w:color w:val="auto"/>
          <w:sz w:val="24"/>
          <w:szCs w:val="24"/>
        </w:rPr>
        <w:t>on</w:t>
      </w:r>
      <w:proofErr w:type="gramEnd"/>
      <w:r w:rsidRPr="006849EE">
        <w:rPr>
          <w:rFonts w:asciiTheme="majorHAnsi" w:eastAsiaTheme="majorEastAsia" w:hAnsiTheme="majorHAnsi" w:cs="Arial"/>
          <w:b/>
          <w:bCs/>
          <w:color w:val="auto"/>
          <w:sz w:val="24"/>
          <w:szCs w:val="24"/>
        </w:rPr>
        <w:t xml:space="preserve"> Working Capital</w:t>
      </w:r>
    </w:p>
    <w:p w14:paraId="08862FA6" w14:textId="31F30DD6" w:rsidR="00F15117" w:rsidRPr="006849EE" w:rsidRDefault="00F15117" w:rsidP="00973017">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w:t>
      </w:r>
      <w:r w:rsidRPr="006849EE">
        <w:rPr>
          <w:rFonts w:asciiTheme="majorHAnsi" w:eastAsiaTheme="majorEastAsia" w:hAnsiTheme="majorHAnsi" w:cs="Arial"/>
          <w:color w:val="auto"/>
          <w:sz w:val="24"/>
          <w:szCs w:val="24"/>
        </w:rPr>
        <w:t>in</w:t>
      </w:r>
      <w:r w:rsidRPr="006849EE">
        <w:rPr>
          <w:rFonts w:asciiTheme="majorHAnsi" w:hAnsiTheme="majorHAnsi" w:cs="Arial"/>
          <w:color w:val="auto"/>
          <w:sz w:val="24"/>
          <w:szCs w:val="24"/>
        </w:rPr>
        <w:t xml:space="preserve"> the instant petition has claimed the Interest on Working Capital (IWC) in accordance with the Regulation 10.31 and 10.32 of the JSERC “Terms and </w:t>
      </w:r>
      <w:r w:rsidRPr="006849EE">
        <w:rPr>
          <w:rFonts w:asciiTheme="majorHAnsi" w:hAnsiTheme="majorHAnsi" w:cs="Arial"/>
          <w:color w:val="auto"/>
          <w:sz w:val="24"/>
          <w:szCs w:val="24"/>
        </w:rPr>
        <w:lastRenderedPageBreak/>
        <w:t>Conditions for Determination of Distribution Tariff Regulation, 202</w:t>
      </w:r>
      <w:r w:rsidR="00277A20" w:rsidRPr="006849EE">
        <w:rPr>
          <w:rFonts w:asciiTheme="majorHAnsi" w:hAnsiTheme="majorHAnsi" w:cs="Arial"/>
          <w:color w:val="auto"/>
          <w:sz w:val="24"/>
          <w:szCs w:val="24"/>
        </w:rPr>
        <w:t>5</w:t>
      </w:r>
      <w:r w:rsidRPr="006849EE">
        <w:rPr>
          <w:rFonts w:asciiTheme="majorHAnsi" w:hAnsiTheme="majorHAnsi" w:cs="Arial"/>
          <w:color w:val="auto"/>
          <w:sz w:val="24"/>
          <w:szCs w:val="24"/>
        </w:rPr>
        <w:t xml:space="preserve">”. The rate of interest on Working Capital has been taken as </w:t>
      </w:r>
      <w:proofErr w:type="gramStart"/>
      <w:r w:rsidRPr="006849EE">
        <w:rPr>
          <w:rFonts w:asciiTheme="majorHAnsi" w:hAnsiTheme="majorHAnsi" w:cs="Arial"/>
          <w:color w:val="auto"/>
          <w:sz w:val="24"/>
          <w:szCs w:val="24"/>
        </w:rPr>
        <w:t>1 year</w:t>
      </w:r>
      <w:proofErr w:type="gramEnd"/>
      <w:r w:rsidRPr="006849EE">
        <w:rPr>
          <w:rFonts w:asciiTheme="majorHAnsi" w:hAnsiTheme="majorHAnsi" w:cs="Arial"/>
          <w:color w:val="auto"/>
          <w:sz w:val="24"/>
          <w:szCs w:val="24"/>
        </w:rPr>
        <w:t xml:space="preserve"> SBI MCLR rate as on 30.09.202</w:t>
      </w:r>
      <w:r w:rsidR="00277A20" w:rsidRPr="006849EE">
        <w:rPr>
          <w:rFonts w:asciiTheme="majorHAnsi" w:hAnsiTheme="majorHAnsi" w:cs="Arial"/>
          <w:color w:val="auto"/>
          <w:sz w:val="24"/>
          <w:szCs w:val="24"/>
        </w:rPr>
        <w:t>5</w:t>
      </w:r>
      <w:r w:rsidRPr="006849EE">
        <w:rPr>
          <w:rFonts w:asciiTheme="majorHAnsi" w:hAnsiTheme="majorHAnsi" w:cs="Arial"/>
          <w:color w:val="auto"/>
          <w:sz w:val="24"/>
          <w:szCs w:val="24"/>
        </w:rPr>
        <w:t xml:space="preserve"> + 350 b.p.</w:t>
      </w:r>
      <w:r w:rsidR="00D00B96" w:rsidRPr="006849EE">
        <w:rPr>
          <w:rFonts w:asciiTheme="majorHAnsi" w:hAnsiTheme="majorHAnsi" w:cs="Arial"/>
          <w:color w:val="auto"/>
          <w:sz w:val="24"/>
          <w:szCs w:val="24"/>
        </w:rPr>
        <w:t>, which</w:t>
      </w:r>
      <w:r w:rsidRPr="006849EE">
        <w:rPr>
          <w:rFonts w:asciiTheme="majorHAnsi" w:hAnsiTheme="majorHAnsi" w:cs="Arial"/>
          <w:color w:val="auto"/>
          <w:sz w:val="24"/>
          <w:szCs w:val="24"/>
        </w:rPr>
        <w:t xml:space="preserve"> </w:t>
      </w:r>
      <w:proofErr w:type="gramStart"/>
      <w:r w:rsidRPr="006849EE">
        <w:rPr>
          <w:rFonts w:asciiTheme="majorHAnsi" w:hAnsiTheme="majorHAnsi" w:cs="Arial"/>
          <w:color w:val="auto"/>
          <w:sz w:val="24"/>
          <w:szCs w:val="24"/>
        </w:rPr>
        <w:t>is @</w:t>
      </w:r>
      <w:proofErr w:type="gramEnd"/>
      <w:r w:rsidRPr="006849EE">
        <w:rPr>
          <w:rFonts w:asciiTheme="majorHAnsi" w:hAnsiTheme="majorHAnsi" w:cs="Arial"/>
          <w:color w:val="auto"/>
          <w:sz w:val="24"/>
          <w:szCs w:val="24"/>
        </w:rPr>
        <w:t xml:space="preserve"> 12.</w:t>
      </w:r>
      <w:r w:rsidR="00277A20" w:rsidRPr="006849EE">
        <w:rPr>
          <w:rFonts w:asciiTheme="majorHAnsi" w:hAnsiTheme="majorHAnsi" w:cs="Arial"/>
          <w:color w:val="auto"/>
          <w:sz w:val="24"/>
          <w:szCs w:val="24"/>
        </w:rPr>
        <w:t>2</w:t>
      </w:r>
      <w:r w:rsidRPr="006849EE">
        <w:rPr>
          <w:rFonts w:asciiTheme="majorHAnsi" w:hAnsiTheme="majorHAnsi" w:cs="Arial"/>
          <w:color w:val="auto"/>
          <w:sz w:val="24"/>
          <w:szCs w:val="24"/>
        </w:rPr>
        <w:t>5% and the same rate of interest has been considered for</w:t>
      </w:r>
      <w:r w:rsidR="00277A20" w:rsidRPr="006849EE">
        <w:rPr>
          <w:rFonts w:asciiTheme="majorHAnsi" w:hAnsiTheme="majorHAnsi" w:cs="Arial"/>
          <w:color w:val="auto"/>
          <w:sz w:val="24"/>
          <w:szCs w:val="24"/>
        </w:rPr>
        <w:t xml:space="preserve"> all the years of the control period.</w:t>
      </w:r>
    </w:p>
    <w:p w14:paraId="67B467C4" w14:textId="77777777" w:rsidR="00C43485" w:rsidRPr="006849EE" w:rsidRDefault="00C43485" w:rsidP="00C43485">
      <w:pPr>
        <w:spacing w:line="360" w:lineRule="auto"/>
        <w:ind w:left="734"/>
        <w:jc w:val="both"/>
        <w:rPr>
          <w:rFonts w:asciiTheme="majorHAnsi" w:hAnsiTheme="majorHAnsi" w:cs="Arial"/>
          <w:color w:val="auto"/>
          <w:sz w:val="24"/>
          <w:szCs w:val="24"/>
        </w:rPr>
      </w:pPr>
    </w:p>
    <w:p w14:paraId="1EDEB28C" w14:textId="77777777" w:rsidR="00F15117" w:rsidRPr="006849EE" w:rsidRDefault="00F15117" w:rsidP="00B90377">
      <w:pPr>
        <w:pStyle w:val="ListParagraph"/>
        <w:numPr>
          <w:ilvl w:val="0"/>
          <w:numId w:val="11"/>
        </w:numPr>
        <w:spacing w:line="360" w:lineRule="auto"/>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b/>
          <w:bCs/>
          <w:color w:val="auto"/>
          <w:sz w:val="24"/>
          <w:szCs w:val="24"/>
        </w:rPr>
        <w:t xml:space="preserve">Regulatory Fees, Publication Expenses and Related </w:t>
      </w:r>
      <w:proofErr w:type="gramStart"/>
      <w:r w:rsidRPr="006849EE">
        <w:rPr>
          <w:rFonts w:asciiTheme="majorHAnsi" w:eastAsiaTheme="majorEastAsia" w:hAnsiTheme="majorHAnsi" w:cs="Arial"/>
          <w:b/>
          <w:bCs/>
          <w:color w:val="auto"/>
          <w:sz w:val="24"/>
          <w:szCs w:val="24"/>
        </w:rPr>
        <w:t>expenditure</w:t>
      </w:r>
      <w:proofErr w:type="gramEnd"/>
    </w:p>
    <w:p w14:paraId="60746406" w14:textId="4355AAC8" w:rsidR="00F15117" w:rsidRPr="006849EE" w:rsidRDefault="00F15117" w:rsidP="00973017">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In addition to above items DVC has </w:t>
      </w:r>
      <w:proofErr w:type="gramStart"/>
      <w:r w:rsidRPr="006849EE">
        <w:rPr>
          <w:rFonts w:asciiTheme="majorHAnsi" w:eastAsiaTheme="majorEastAsia" w:hAnsiTheme="majorHAnsi" w:cs="Arial"/>
          <w:color w:val="auto"/>
          <w:sz w:val="24"/>
          <w:szCs w:val="24"/>
        </w:rPr>
        <w:t>claimed</w:t>
      </w:r>
      <w:proofErr w:type="gramEnd"/>
      <w:r w:rsidRPr="006849EE">
        <w:rPr>
          <w:rFonts w:asciiTheme="majorHAnsi" w:eastAsiaTheme="majorEastAsia" w:hAnsiTheme="majorHAnsi" w:cs="Arial"/>
          <w:color w:val="auto"/>
          <w:sz w:val="24"/>
          <w:szCs w:val="24"/>
        </w:rPr>
        <w:t xml:space="preserve"> the Tariff filing fees, license fees etc. to be paid before Hon’ble Central Commission as well as before the State Commission in terms of the relevant Fees regulation of the respective Commission for the </w:t>
      </w:r>
      <w:proofErr w:type="gramStart"/>
      <w:r w:rsidRPr="006849EE">
        <w:rPr>
          <w:rFonts w:asciiTheme="majorHAnsi" w:eastAsiaTheme="majorEastAsia" w:hAnsiTheme="majorHAnsi" w:cs="Arial"/>
          <w:color w:val="auto"/>
          <w:sz w:val="24"/>
          <w:szCs w:val="24"/>
        </w:rPr>
        <w:t>concerned period</w:t>
      </w:r>
      <w:proofErr w:type="gramEnd"/>
      <w:r w:rsidRPr="006849EE">
        <w:rPr>
          <w:rFonts w:asciiTheme="majorHAnsi" w:eastAsiaTheme="majorEastAsia" w:hAnsiTheme="majorHAnsi" w:cs="Arial"/>
          <w:color w:val="auto"/>
          <w:sz w:val="24"/>
          <w:szCs w:val="24"/>
        </w:rPr>
        <w:t xml:space="preserve"> on estimation basis.</w:t>
      </w:r>
    </w:p>
    <w:p w14:paraId="4C8FB24C" w14:textId="77777777" w:rsidR="00740DEA" w:rsidRPr="006849EE" w:rsidRDefault="00740DEA" w:rsidP="00740DEA">
      <w:pPr>
        <w:spacing w:line="360" w:lineRule="auto"/>
        <w:ind w:left="734"/>
        <w:jc w:val="both"/>
        <w:rPr>
          <w:rFonts w:asciiTheme="majorHAnsi" w:eastAsiaTheme="majorEastAsia" w:hAnsiTheme="majorHAnsi" w:cs="Arial"/>
          <w:color w:val="auto"/>
          <w:sz w:val="24"/>
          <w:szCs w:val="24"/>
        </w:rPr>
      </w:pPr>
    </w:p>
    <w:p w14:paraId="6C2E18BD" w14:textId="77777777" w:rsidR="00F15117" w:rsidRPr="006849EE" w:rsidRDefault="00F15117" w:rsidP="00B90377">
      <w:pPr>
        <w:pStyle w:val="ListParagraph"/>
        <w:numPr>
          <w:ilvl w:val="0"/>
          <w:numId w:val="11"/>
        </w:numPr>
        <w:spacing w:line="360" w:lineRule="auto"/>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b/>
          <w:bCs/>
          <w:color w:val="auto"/>
          <w:sz w:val="24"/>
          <w:szCs w:val="24"/>
        </w:rPr>
        <w:t>Legal Expenses</w:t>
      </w:r>
    </w:p>
    <w:p w14:paraId="3F77ED57" w14:textId="187CBCCE" w:rsidR="00F15117" w:rsidRPr="006849EE" w:rsidRDefault="00F15117" w:rsidP="00973017">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w:t>
      </w:r>
      <w:r w:rsidRPr="006849EE">
        <w:rPr>
          <w:rFonts w:asciiTheme="majorHAnsi" w:eastAsiaTheme="majorEastAsia" w:hAnsiTheme="majorHAnsi" w:cs="Arial"/>
          <w:color w:val="auto"/>
          <w:sz w:val="24"/>
          <w:szCs w:val="24"/>
        </w:rPr>
        <w:t>has</w:t>
      </w:r>
      <w:r w:rsidRPr="006849EE">
        <w:rPr>
          <w:rFonts w:asciiTheme="majorHAnsi" w:hAnsiTheme="majorHAnsi" w:cs="Arial"/>
          <w:color w:val="auto"/>
          <w:sz w:val="24"/>
          <w:szCs w:val="24"/>
        </w:rPr>
        <w:t xml:space="preserve"> also claimed the projected the cost of legal expenses in line with the Regulation 10.7 of the JSERC “Terms and Conditions for Determination of Distribution Tariff” Regulations, 202</w:t>
      </w:r>
      <w:r w:rsidR="00B00805" w:rsidRPr="006849EE">
        <w:rPr>
          <w:rFonts w:asciiTheme="majorHAnsi" w:hAnsiTheme="majorHAnsi" w:cs="Arial"/>
          <w:color w:val="auto"/>
          <w:sz w:val="24"/>
          <w:szCs w:val="24"/>
        </w:rPr>
        <w:t>5</w:t>
      </w:r>
      <w:r w:rsidRPr="006849EE">
        <w:rPr>
          <w:rFonts w:asciiTheme="majorHAnsi" w:hAnsiTheme="majorHAnsi" w:cs="Arial"/>
          <w:color w:val="auto"/>
          <w:sz w:val="24"/>
          <w:szCs w:val="24"/>
        </w:rPr>
        <w:t xml:space="preserve"> and claimed the said expenditure</w:t>
      </w:r>
      <w:r w:rsidR="007A76E2" w:rsidRPr="006849EE">
        <w:rPr>
          <w:rFonts w:asciiTheme="majorHAnsi" w:hAnsiTheme="majorHAnsi" w:cs="Arial"/>
          <w:color w:val="auto"/>
          <w:sz w:val="24"/>
          <w:szCs w:val="24"/>
        </w:rPr>
        <w:t xml:space="preserve"> </w:t>
      </w:r>
      <w:r w:rsidRPr="006849EE">
        <w:rPr>
          <w:rFonts w:asciiTheme="majorHAnsi" w:hAnsiTheme="majorHAnsi" w:cs="Arial"/>
          <w:color w:val="auto"/>
          <w:sz w:val="24"/>
          <w:szCs w:val="24"/>
        </w:rPr>
        <w:t xml:space="preserve">with </w:t>
      </w:r>
      <w:r w:rsidR="007E0164" w:rsidRPr="006849EE">
        <w:rPr>
          <w:rFonts w:asciiTheme="majorHAnsi" w:hAnsiTheme="majorHAnsi" w:cs="Arial"/>
          <w:color w:val="auto"/>
          <w:sz w:val="24"/>
          <w:szCs w:val="24"/>
        </w:rPr>
        <w:t>2</w:t>
      </w:r>
      <w:r w:rsidRPr="006849EE">
        <w:rPr>
          <w:rFonts w:asciiTheme="majorHAnsi" w:hAnsiTheme="majorHAnsi" w:cs="Arial"/>
          <w:color w:val="auto"/>
          <w:sz w:val="24"/>
          <w:szCs w:val="24"/>
        </w:rPr>
        <w:t>% escalation during</w:t>
      </w:r>
      <w:r w:rsidR="007E0164" w:rsidRPr="006849EE">
        <w:rPr>
          <w:rFonts w:asciiTheme="majorHAnsi" w:hAnsiTheme="majorHAnsi" w:cs="Arial"/>
          <w:color w:val="auto"/>
          <w:sz w:val="24"/>
          <w:szCs w:val="24"/>
        </w:rPr>
        <w:t xml:space="preserve"> each year of the control period from the True Up year FY 2024-25.</w:t>
      </w:r>
    </w:p>
    <w:p w14:paraId="76D904FC" w14:textId="77777777" w:rsidR="00F15117" w:rsidRPr="006849EE" w:rsidRDefault="00F15117" w:rsidP="00B90377">
      <w:pPr>
        <w:pStyle w:val="ListParagraph"/>
        <w:numPr>
          <w:ilvl w:val="0"/>
          <w:numId w:val="11"/>
        </w:numPr>
        <w:spacing w:line="360" w:lineRule="auto"/>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b/>
          <w:bCs/>
          <w:color w:val="auto"/>
          <w:sz w:val="24"/>
          <w:szCs w:val="24"/>
        </w:rPr>
        <w:t xml:space="preserve">Environmental and Other </w:t>
      </w:r>
      <w:proofErr w:type="spellStart"/>
      <w:r w:rsidRPr="006849EE">
        <w:rPr>
          <w:rFonts w:asciiTheme="majorHAnsi" w:eastAsiaTheme="majorEastAsia" w:hAnsiTheme="majorHAnsi" w:cs="Arial"/>
          <w:b/>
          <w:bCs/>
          <w:color w:val="auto"/>
          <w:sz w:val="24"/>
          <w:szCs w:val="24"/>
        </w:rPr>
        <w:t>Cess</w:t>
      </w:r>
      <w:proofErr w:type="spellEnd"/>
    </w:p>
    <w:p w14:paraId="2A14F6C4" w14:textId="3766A928" w:rsidR="00123A83" w:rsidRPr="006849EE" w:rsidRDefault="00F15117" w:rsidP="00973017">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DVC </w:t>
      </w:r>
      <w:r w:rsidRPr="006849EE">
        <w:rPr>
          <w:rFonts w:asciiTheme="majorHAnsi" w:hAnsiTheme="majorHAnsi" w:cs="Arial"/>
          <w:color w:val="auto"/>
          <w:sz w:val="24"/>
          <w:szCs w:val="24"/>
        </w:rPr>
        <w:t>has</w:t>
      </w:r>
      <w:r w:rsidRPr="006849EE">
        <w:rPr>
          <w:rFonts w:asciiTheme="majorHAnsi" w:eastAsiaTheme="majorEastAsia" w:hAnsiTheme="majorHAnsi" w:cs="Arial"/>
          <w:color w:val="auto"/>
          <w:sz w:val="24"/>
          <w:szCs w:val="24"/>
        </w:rPr>
        <w:t xml:space="preserve"> also estimated the environmental protection and other </w:t>
      </w:r>
      <w:proofErr w:type="spellStart"/>
      <w:r w:rsidRPr="006849EE">
        <w:rPr>
          <w:rFonts w:asciiTheme="majorHAnsi" w:eastAsiaTheme="majorEastAsia" w:hAnsiTheme="majorHAnsi" w:cs="Arial"/>
          <w:color w:val="auto"/>
          <w:sz w:val="24"/>
          <w:szCs w:val="24"/>
        </w:rPr>
        <w:t>Cess</w:t>
      </w:r>
      <w:proofErr w:type="spellEnd"/>
      <w:r w:rsidRPr="006849EE">
        <w:rPr>
          <w:rFonts w:asciiTheme="majorHAnsi" w:eastAsiaTheme="majorEastAsia" w:hAnsiTheme="majorHAnsi" w:cs="Arial"/>
          <w:color w:val="auto"/>
          <w:sz w:val="24"/>
          <w:szCs w:val="24"/>
        </w:rPr>
        <w:t xml:space="preserve"> to be paid to different authorities in the state of Jharkhand and West Bengal based on the actual expenses incurred during </w:t>
      </w:r>
      <w:r w:rsidR="00FB1AE2" w:rsidRPr="006849EE">
        <w:rPr>
          <w:rFonts w:asciiTheme="majorHAnsi" w:eastAsiaTheme="majorEastAsia" w:hAnsiTheme="majorHAnsi" w:cs="Arial"/>
          <w:color w:val="auto"/>
          <w:sz w:val="24"/>
          <w:szCs w:val="24"/>
        </w:rPr>
        <w:t>FY 2024-25</w:t>
      </w:r>
      <w:r w:rsidRPr="006849EE">
        <w:rPr>
          <w:rFonts w:asciiTheme="majorHAnsi" w:eastAsiaTheme="majorEastAsia" w:hAnsiTheme="majorHAnsi" w:cs="Arial"/>
          <w:color w:val="auto"/>
          <w:sz w:val="24"/>
          <w:szCs w:val="24"/>
        </w:rPr>
        <w:t xml:space="preserve">. </w:t>
      </w:r>
      <w:r w:rsidR="00F52C38" w:rsidRPr="006849EE">
        <w:rPr>
          <w:rFonts w:asciiTheme="majorHAnsi" w:eastAsiaTheme="majorEastAsia" w:hAnsiTheme="majorHAnsi" w:cs="Arial"/>
          <w:color w:val="auto"/>
          <w:sz w:val="24"/>
          <w:szCs w:val="24"/>
        </w:rPr>
        <w:t xml:space="preserve">DVC has </w:t>
      </w:r>
      <w:r w:rsidR="00123A83" w:rsidRPr="006849EE">
        <w:rPr>
          <w:rFonts w:asciiTheme="majorHAnsi" w:eastAsiaTheme="majorEastAsia" w:hAnsiTheme="majorHAnsi" w:cs="Arial"/>
          <w:color w:val="auto"/>
          <w:sz w:val="24"/>
          <w:szCs w:val="24"/>
        </w:rPr>
        <w:t>claimed the said expenditure with 2% escalation during each year of the control period from the True Up year FY 2024-25.</w:t>
      </w:r>
    </w:p>
    <w:p w14:paraId="7EA12457" w14:textId="014B8BCF" w:rsidR="00F15117" w:rsidRPr="006849EE" w:rsidRDefault="00F15117" w:rsidP="00123A83">
      <w:pPr>
        <w:spacing w:line="360" w:lineRule="auto"/>
        <w:ind w:left="1418"/>
        <w:contextualSpacing/>
        <w:jc w:val="both"/>
        <w:rPr>
          <w:rFonts w:asciiTheme="majorHAnsi" w:eastAsiaTheme="majorEastAsia" w:hAnsiTheme="majorHAnsi" w:cs="Arial"/>
          <w:color w:val="auto"/>
          <w:sz w:val="24"/>
          <w:szCs w:val="24"/>
        </w:rPr>
      </w:pPr>
    </w:p>
    <w:p w14:paraId="06FC13EC" w14:textId="77777777" w:rsidR="00F15117" w:rsidRPr="006849EE" w:rsidRDefault="00F15117" w:rsidP="00B90377">
      <w:pPr>
        <w:pStyle w:val="ListParagraph"/>
        <w:numPr>
          <w:ilvl w:val="0"/>
          <w:numId w:val="11"/>
        </w:numPr>
        <w:spacing w:line="360" w:lineRule="auto"/>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b/>
          <w:bCs/>
          <w:color w:val="auto"/>
          <w:sz w:val="24"/>
          <w:szCs w:val="24"/>
        </w:rPr>
        <w:t xml:space="preserve">Interest </w:t>
      </w:r>
      <w:proofErr w:type="gramStart"/>
      <w:r w:rsidRPr="006849EE">
        <w:rPr>
          <w:rFonts w:asciiTheme="majorHAnsi" w:eastAsiaTheme="majorEastAsia" w:hAnsiTheme="majorHAnsi" w:cs="Arial"/>
          <w:b/>
          <w:bCs/>
          <w:color w:val="auto"/>
          <w:sz w:val="24"/>
          <w:szCs w:val="24"/>
        </w:rPr>
        <w:t>of</w:t>
      </w:r>
      <w:proofErr w:type="gramEnd"/>
      <w:r w:rsidRPr="006849EE">
        <w:rPr>
          <w:rFonts w:asciiTheme="majorHAnsi" w:eastAsiaTheme="majorEastAsia" w:hAnsiTheme="majorHAnsi" w:cs="Arial"/>
          <w:b/>
          <w:bCs/>
          <w:color w:val="auto"/>
          <w:sz w:val="24"/>
          <w:szCs w:val="24"/>
        </w:rPr>
        <w:t xml:space="preserve"> Consumer Security Deposit</w:t>
      </w:r>
    </w:p>
    <w:p w14:paraId="351DC346" w14:textId="3B5FB758" w:rsidR="00E349AC" w:rsidRPr="006849EE" w:rsidRDefault="00F15117" w:rsidP="00ED752B">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Interest </w:t>
      </w:r>
      <w:proofErr w:type="gramStart"/>
      <w:r w:rsidRPr="006849EE">
        <w:rPr>
          <w:rFonts w:asciiTheme="majorHAnsi" w:eastAsiaTheme="majorEastAsia" w:hAnsiTheme="majorHAnsi" w:cs="Arial"/>
          <w:color w:val="auto"/>
          <w:sz w:val="24"/>
          <w:szCs w:val="24"/>
        </w:rPr>
        <w:t>on</w:t>
      </w:r>
      <w:proofErr w:type="gramEnd"/>
      <w:r w:rsidRPr="006849EE">
        <w:rPr>
          <w:rFonts w:asciiTheme="majorHAnsi" w:eastAsiaTheme="majorEastAsia" w:hAnsiTheme="majorHAnsi" w:cs="Arial"/>
          <w:color w:val="auto"/>
          <w:sz w:val="24"/>
          <w:szCs w:val="24"/>
        </w:rPr>
        <w:t xml:space="preserve"> cash security deposit (CSD) has been computed in accordance with the JSERC (Electricity Supply Code) Regulation 2015. Estimation of Interest on Consumer security deposit is made on average </w:t>
      </w:r>
      <w:r w:rsidR="00AC6278" w:rsidRPr="006849EE">
        <w:rPr>
          <w:rFonts w:asciiTheme="majorHAnsi" w:eastAsiaTheme="majorEastAsia" w:hAnsiTheme="majorHAnsi" w:cs="Arial"/>
          <w:color w:val="auto"/>
          <w:sz w:val="24"/>
          <w:szCs w:val="24"/>
        </w:rPr>
        <w:t xml:space="preserve">of actual </w:t>
      </w:r>
      <w:r w:rsidRPr="006849EE">
        <w:rPr>
          <w:rFonts w:asciiTheme="majorHAnsi" w:eastAsiaTheme="majorEastAsia" w:hAnsiTheme="majorHAnsi" w:cs="Arial"/>
          <w:color w:val="auto"/>
          <w:sz w:val="24"/>
          <w:szCs w:val="24"/>
        </w:rPr>
        <w:t xml:space="preserve">CSD during FY 24-25. </w:t>
      </w:r>
      <w:r w:rsidR="002260C0" w:rsidRPr="006849EE">
        <w:rPr>
          <w:rFonts w:asciiTheme="majorHAnsi" w:eastAsiaTheme="majorEastAsia" w:hAnsiTheme="majorHAnsi" w:cs="Arial"/>
          <w:color w:val="auto"/>
          <w:sz w:val="24"/>
          <w:szCs w:val="24"/>
        </w:rPr>
        <w:t>This average CSD for FY 2024-25 is f</w:t>
      </w:r>
      <w:r w:rsidRPr="006849EE">
        <w:rPr>
          <w:rFonts w:asciiTheme="majorHAnsi" w:eastAsiaTheme="majorEastAsia" w:hAnsiTheme="majorHAnsi" w:cs="Arial"/>
          <w:color w:val="auto"/>
          <w:sz w:val="24"/>
          <w:szCs w:val="24"/>
        </w:rPr>
        <w:t xml:space="preserve">urther </w:t>
      </w:r>
      <w:r w:rsidR="002260C0" w:rsidRPr="006849EE">
        <w:rPr>
          <w:rFonts w:asciiTheme="majorHAnsi" w:eastAsiaTheme="majorEastAsia" w:hAnsiTheme="majorHAnsi" w:cs="Arial"/>
          <w:color w:val="auto"/>
          <w:sz w:val="24"/>
          <w:szCs w:val="24"/>
        </w:rPr>
        <w:t>increased</w:t>
      </w:r>
      <w:r w:rsidRPr="006849EE">
        <w:rPr>
          <w:rFonts w:asciiTheme="majorHAnsi" w:eastAsiaTheme="majorEastAsia" w:hAnsiTheme="majorHAnsi" w:cs="Arial"/>
          <w:color w:val="auto"/>
          <w:sz w:val="24"/>
          <w:szCs w:val="24"/>
        </w:rPr>
        <w:t xml:space="preserve"> </w:t>
      </w:r>
      <w:r w:rsidR="002260C0" w:rsidRPr="006849EE">
        <w:rPr>
          <w:rFonts w:asciiTheme="majorHAnsi" w:eastAsiaTheme="majorEastAsia" w:hAnsiTheme="majorHAnsi" w:cs="Arial"/>
          <w:color w:val="auto"/>
          <w:sz w:val="24"/>
          <w:szCs w:val="24"/>
        </w:rPr>
        <w:t xml:space="preserve">by </w:t>
      </w:r>
      <w:r w:rsidRPr="006849EE">
        <w:rPr>
          <w:rFonts w:asciiTheme="majorHAnsi" w:eastAsiaTheme="majorEastAsia" w:hAnsiTheme="majorHAnsi" w:cs="Arial"/>
          <w:color w:val="auto"/>
          <w:sz w:val="24"/>
          <w:szCs w:val="24"/>
        </w:rPr>
        <w:t xml:space="preserve">2% </w:t>
      </w:r>
      <w:r w:rsidR="002260C0" w:rsidRPr="006849EE">
        <w:rPr>
          <w:rFonts w:asciiTheme="majorHAnsi" w:eastAsiaTheme="majorEastAsia" w:hAnsiTheme="majorHAnsi" w:cs="Arial"/>
          <w:color w:val="auto"/>
          <w:sz w:val="24"/>
          <w:szCs w:val="24"/>
        </w:rPr>
        <w:t xml:space="preserve">every year </w:t>
      </w:r>
      <w:r w:rsidR="006E5B75" w:rsidRPr="006849EE">
        <w:rPr>
          <w:rFonts w:asciiTheme="majorHAnsi" w:eastAsiaTheme="majorEastAsia" w:hAnsiTheme="majorHAnsi" w:cs="Arial"/>
          <w:color w:val="auto"/>
          <w:sz w:val="24"/>
          <w:szCs w:val="24"/>
        </w:rPr>
        <w:t>for the complete control period.</w:t>
      </w:r>
      <w:r w:rsidRPr="006849EE">
        <w:rPr>
          <w:rFonts w:asciiTheme="majorHAnsi" w:eastAsiaTheme="majorEastAsia" w:hAnsiTheme="majorHAnsi" w:cs="Arial"/>
          <w:color w:val="auto"/>
          <w:sz w:val="24"/>
          <w:szCs w:val="24"/>
        </w:rPr>
        <w:t xml:space="preserve"> Interest rate on CSD has been considered as SBI base rate year as of </w:t>
      </w:r>
      <w:r w:rsidR="008D0D26" w:rsidRPr="006849EE">
        <w:rPr>
          <w:rFonts w:asciiTheme="majorHAnsi" w:eastAsiaTheme="majorEastAsia" w:hAnsiTheme="majorHAnsi" w:cs="Arial"/>
          <w:color w:val="auto"/>
          <w:sz w:val="24"/>
          <w:szCs w:val="24"/>
        </w:rPr>
        <w:t>30</w:t>
      </w:r>
      <w:r w:rsidR="008D0D26" w:rsidRPr="006849EE">
        <w:rPr>
          <w:rFonts w:asciiTheme="majorHAnsi" w:eastAsiaTheme="majorEastAsia" w:hAnsiTheme="majorHAnsi" w:cs="Arial"/>
          <w:color w:val="auto"/>
          <w:sz w:val="24"/>
          <w:szCs w:val="24"/>
          <w:vertAlign w:val="superscript"/>
        </w:rPr>
        <w:t>th</w:t>
      </w:r>
      <w:r w:rsidR="008D0D26" w:rsidRPr="006849EE">
        <w:rPr>
          <w:rFonts w:asciiTheme="majorHAnsi" w:eastAsiaTheme="majorEastAsia" w:hAnsiTheme="majorHAnsi" w:cs="Arial"/>
          <w:color w:val="auto"/>
          <w:sz w:val="24"/>
          <w:szCs w:val="24"/>
        </w:rPr>
        <w:t xml:space="preserve"> September 2025 plus 350 </w:t>
      </w:r>
      <w:proofErr w:type="gramStart"/>
      <w:r w:rsidR="008D0D26" w:rsidRPr="006849EE">
        <w:rPr>
          <w:rFonts w:asciiTheme="majorHAnsi" w:eastAsiaTheme="majorEastAsia" w:hAnsiTheme="majorHAnsi" w:cs="Arial"/>
          <w:color w:val="auto"/>
          <w:sz w:val="24"/>
          <w:szCs w:val="24"/>
        </w:rPr>
        <w:t>basis</w:t>
      </w:r>
      <w:r w:rsidRPr="006849EE">
        <w:rPr>
          <w:rFonts w:asciiTheme="majorHAnsi" w:eastAsiaTheme="majorEastAsia" w:hAnsiTheme="majorHAnsi" w:cs="Arial"/>
          <w:color w:val="auto"/>
          <w:sz w:val="24"/>
          <w:szCs w:val="24"/>
        </w:rPr>
        <w:t xml:space="preserve"> @</w:t>
      </w:r>
      <w:proofErr w:type="gramEnd"/>
      <w:r w:rsidRPr="006849EE">
        <w:rPr>
          <w:rFonts w:asciiTheme="majorHAnsi" w:eastAsiaTheme="majorEastAsia" w:hAnsiTheme="majorHAnsi" w:cs="Arial"/>
          <w:color w:val="auto"/>
          <w:sz w:val="24"/>
          <w:szCs w:val="24"/>
        </w:rPr>
        <w:t xml:space="preserve"> 1</w:t>
      </w:r>
      <w:r w:rsidR="008D0D26" w:rsidRPr="006849EE">
        <w:rPr>
          <w:rFonts w:asciiTheme="majorHAnsi" w:eastAsiaTheme="majorEastAsia" w:hAnsiTheme="majorHAnsi" w:cs="Arial"/>
          <w:color w:val="auto"/>
          <w:sz w:val="24"/>
          <w:szCs w:val="24"/>
        </w:rPr>
        <w:t>2</w:t>
      </w:r>
      <w:r w:rsidRPr="006849EE">
        <w:rPr>
          <w:rFonts w:asciiTheme="majorHAnsi" w:eastAsiaTheme="majorEastAsia" w:hAnsiTheme="majorHAnsi" w:cs="Arial"/>
          <w:color w:val="auto"/>
          <w:sz w:val="24"/>
          <w:szCs w:val="24"/>
        </w:rPr>
        <w:t>.25% for</w:t>
      </w:r>
      <w:r w:rsidR="008D0D26" w:rsidRPr="006849EE">
        <w:rPr>
          <w:rFonts w:asciiTheme="majorHAnsi" w:eastAsiaTheme="majorEastAsia" w:hAnsiTheme="majorHAnsi" w:cs="Arial"/>
          <w:color w:val="auto"/>
          <w:sz w:val="24"/>
          <w:szCs w:val="24"/>
        </w:rPr>
        <w:t xml:space="preserve"> all the years of the control period</w:t>
      </w:r>
      <w:r w:rsidRPr="006849EE">
        <w:rPr>
          <w:rFonts w:asciiTheme="majorHAnsi" w:eastAsiaTheme="majorEastAsia" w:hAnsiTheme="majorHAnsi" w:cs="Arial"/>
          <w:color w:val="auto"/>
          <w:sz w:val="24"/>
          <w:szCs w:val="24"/>
        </w:rPr>
        <w:t xml:space="preserve">. Interest </w:t>
      </w:r>
      <w:proofErr w:type="gramStart"/>
      <w:r w:rsidRPr="006849EE">
        <w:rPr>
          <w:rFonts w:asciiTheme="majorHAnsi" w:eastAsiaTheme="majorEastAsia" w:hAnsiTheme="majorHAnsi" w:cs="Arial"/>
          <w:color w:val="auto"/>
          <w:sz w:val="24"/>
          <w:szCs w:val="24"/>
        </w:rPr>
        <w:t>on</w:t>
      </w:r>
      <w:proofErr w:type="gramEnd"/>
      <w:r w:rsidRPr="006849EE">
        <w:rPr>
          <w:rFonts w:asciiTheme="majorHAnsi" w:eastAsiaTheme="majorEastAsia" w:hAnsiTheme="majorHAnsi" w:cs="Arial"/>
          <w:color w:val="auto"/>
          <w:sz w:val="24"/>
          <w:szCs w:val="24"/>
        </w:rPr>
        <w:t xml:space="preserve"> CSD for </w:t>
      </w:r>
      <w:r w:rsidR="00D10FAD" w:rsidRPr="006849EE">
        <w:rPr>
          <w:rFonts w:asciiTheme="majorHAnsi" w:eastAsiaTheme="majorEastAsia" w:hAnsiTheme="majorHAnsi" w:cs="Arial"/>
          <w:color w:val="auto"/>
          <w:sz w:val="24"/>
          <w:szCs w:val="24"/>
        </w:rPr>
        <w:t>the control period</w:t>
      </w:r>
      <w:r w:rsidRPr="006849EE">
        <w:rPr>
          <w:rFonts w:asciiTheme="majorHAnsi" w:eastAsiaTheme="majorEastAsia" w:hAnsiTheme="majorHAnsi" w:cs="Arial"/>
          <w:color w:val="auto"/>
          <w:sz w:val="24"/>
          <w:szCs w:val="24"/>
        </w:rPr>
        <w:t xml:space="preserve"> has also been computed on the average CSD for the year.  </w:t>
      </w:r>
    </w:p>
    <w:p w14:paraId="7AA7F571" w14:textId="6A0F8A69" w:rsidR="00F15117" w:rsidRPr="006849EE" w:rsidRDefault="00F15117" w:rsidP="00B90377">
      <w:pPr>
        <w:pStyle w:val="ListParagraph"/>
        <w:numPr>
          <w:ilvl w:val="0"/>
          <w:numId w:val="11"/>
        </w:numPr>
        <w:spacing w:line="360" w:lineRule="auto"/>
        <w:ind w:left="1350" w:hanging="630"/>
        <w:jc w:val="both"/>
        <w:rPr>
          <w:rFonts w:asciiTheme="majorHAnsi" w:eastAsiaTheme="majorEastAsia" w:hAnsiTheme="majorHAnsi" w:cs="Arial"/>
          <w:b/>
          <w:bCs/>
          <w:color w:val="auto"/>
          <w:sz w:val="24"/>
          <w:szCs w:val="24"/>
        </w:rPr>
      </w:pPr>
      <w:proofErr w:type="spellStart"/>
      <w:proofErr w:type="gramStart"/>
      <w:r w:rsidRPr="006849EE">
        <w:rPr>
          <w:rFonts w:asciiTheme="majorHAnsi" w:eastAsiaTheme="majorEastAsia" w:hAnsiTheme="majorHAnsi" w:cs="Arial"/>
          <w:b/>
          <w:bCs/>
          <w:color w:val="auto"/>
          <w:sz w:val="24"/>
          <w:szCs w:val="24"/>
        </w:rPr>
        <w:lastRenderedPageBreak/>
        <w:t>Non Tariff</w:t>
      </w:r>
      <w:proofErr w:type="spellEnd"/>
      <w:proofErr w:type="gramEnd"/>
      <w:r w:rsidRPr="006849EE">
        <w:rPr>
          <w:rFonts w:asciiTheme="majorHAnsi" w:eastAsiaTheme="majorEastAsia" w:hAnsiTheme="majorHAnsi" w:cs="Arial"/>
          <w:b/>
          <w:bCs/>
          <w:color w:val="auto"/>
          <w:sz w:val="24"/>
          <w:szCs w:val="24"/>
        </w:rPr>
        <w:t xml:space="preserve"> Income </w:t>
      </w:r>
    </w:p>
    <w:p w14:paraId="187FF3B4" w14:textId="77777777" w:rsidR="00F15117" w:rsidRPr="006849EE" w:rsidRDefault="00F15117" w:rsidP="00F15117">
      <w:pPr>
        <w:ind w:left="720"/>
        <w:contextualSpacing/>
        <w:rPr>
          <w:rFonts w:asciiTheme="majorHAnsi" w:hAnsiTheme="majorHAnsi" w:cs="Arial"/>
          <w:color w:val="FF0000"/>
          <w:sz w:val="24"/>
          <w:szCs w:val="24"/>
        </w:rPr>
      </w:pPr>
    </w:p>
    <w:p w14:paraId="7FB4F968" w14:textId="2980CA1B" w:rsidR="00F15117" w:rsidRPr="006849EE" w:rsidRDefault="00F15117" w:rsidP="00973017">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The Non-Tariff Income has been computed </w:t>
      </w:r>
      <w:r w:rsidR="00CE0A72" w:rsidRPr="006849EE">
        <w:rPr>
          <w:rFonts w:asciiTheme="majorHAnsi" w:hAnsiTheme="majorHAnsi" w:cs="Arial"/>
          <w:color w:val="auto"/>
          <w:sz w:val="24"/>
          <w:szCs w:val="24"/>
        </w:rPr>
        <w:t xml:space="preserve">by considering </w:t>
      </w:r>
      <w:r w:rsidRPr="006849EE">
        <w:rPr>
          <w:rFonts w:asciiTheme="majorHAnsi" w:hAnsiTheme="majorHAnsi" w:cs="Arial"/>
          <w:color w:val="auto"/>
          <w:sz w:val="24"/>
          <w:szCs w:val="24"/>
        </w:rPr>
        <w:t>Delayed Payment Surcharges (DPS) from consumers on account of Distribution business in Jharkhand</w:t>
      </w:r>
      <w:r w:rsidR="00E83EDC" w:rsidRPr="006849EE">
        <w:rPr>
          <w:rFonts w:asciiTheme="majorHAnsi" w:hAnsiTheme="majorHAnsi" w:cs="Arial"/>
          <w:color w:val="auto"/>
          <w:sz w:val="24"/>
          <w:szCs w:val="24"/>
        </w:rPr>
        <w:t xml:space="preserve"> for FY 2024-25</w:t>
      </w:r>
      <w:r w:rsidRPr="006849EE">
        <w:rPr>
          <w:rFonts w:asciiTheme="majorHAnsi" w:hAnsiTheme="majorHAnsi" w:cs="Arial"/>
          <w:color w:val="auto"/>
          <w:sz w:val="24"/>
          <w:szCs w:val="24"/>
        </w:rPr>
        <w:t xml:space="preserve">. </w:t>
      </w:r>
      <w:r w:rsidR="00E83EDC" w:rsidRPr="006849EE">
        <w:rPr>
          <w:rFonts w:asciiTheme="majorHAnsi" w:hAnsiTheme="majorHAnsi" w:cs="Arial"/>
          <w:color w:val="auto"/>
          <w:sz w:val="24"/>
          <w:szCs w:val="24"/>
        </w:rPr>
        <w:t>NTI has been estimated for the control period by escalating the actual interest booked for FY 2024-25 for Jharkhand by 2% each year for the control period.</w:t>
      </w:r>
    </w:p>
    <w:p w14:paraId="5CD113C0" w14:textId="24EB006C" w:rsidR="00F15117" w:rsidRPr="006849EE" w:rsidRDefault="00F15117" w:rsidP="00973017">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This Hon’ble Commission is humbly requested to approve the Non-Tariff Income as per the final order issued by Hon’ble APTEL, dated 15.10.2024 in Appeal No. 332 of 2024 </w:t>
      </w:r>
      <w:r w:rsidR="00455B31" w:rsidRPr="006849EE">
        <w:rPr>
          <w:rFonts w:asciiTheme="majorHAnsi" w:hAnsiTheme="majorHAnsi" w:cs="Arial"/>
          <w:color w:val="auto"/>
          <w:sz w:val="24"/>
          <w:szCs w:val="24"/>
        </w:rPr>
        <w:t xml:space="preserve">and the compliance order </w:t>
      </w:r>
      <w:r w:rsidRPr="006849EE">
        <w:rPr>
          <w:rFonts w:asciiTheme="majorHAnsi" w:hAnsiTheme="majorHAnsi" w:cs="Arial"/>
          <w:color w:val="auto"/>
          <w:sz w:val="24"/>
          <w:szCs w:val="24"/>
        </w:rPr>
        <w:t>where</w:t>
      </w:r>
      <w:r w:rsidR="00A938A8" w:rsidRPr="006849EE">
        <w:rPr>
          <w:rFonts w:asciiTheme="majorHAnsi" w:hAnsiTheme="majorHAnsi" w:cs="Arial"/>
          <w:color w:val="auto"/>
          <w:sz w:val="24"/>
          <w:szCs w:val="24"/>
        </w:rPr>
        <w:t>in</w:t>
      </w:r>
      <w:r w:rsidR="00502D48" w:rsidRPr="006849EE">
        <w:rPr>
          <w:rFonts w:asciiTheme="majorHAnsi" w:hAnsiTheme="majorHAnsi" w:cs="Arial"/>
          <w:color w:val="auto"/>
          <w:sz w:val="24"/>
          <w:szCs w:val="24"/>
        </w:rPr>
        <w:t xml:space="preserve"> </w:t>
      </w:r>
      <w:r w:rsidR="00A938A8" w:rsidRPr="006849EE">
        <w:rPr>
          <w:rFonts w:asciiTheme="majorHAnsi" w:hAnsiTheme="majorHAnsi" w:cs="Arial"/>
          <w:color w:val="auto"/>
          <w:sz w:val="24"/>
          <w:szCs w:val="24"/>
        </w:rPr>
        <w:t>,in terms of the</w:t>
      </w:r>
      <w:r w:rsidRPr="006849EE">
        <w:rPr>
          <w:rFonts w:asciiTheme="majorHAnsi" w:hAnsiTheme="majorHAnsi" w:cs="Arial"/>
          <w:color w:val="auto"/>
          <w:sz w:val="24"/>
          <w:szCs w:val="24"/>
        </w:rPr>
        <w:t xml:space="preserve"> Hon’ble APTEL </w:t>
      </w:r>
      <w:r w:rsidR="007D5111" w:rsidRPr="006849EE">
        <w:rPr>
          <w:rFonts w:asciiTheme="majorHAnsi" w:hAnsiTheme="majorHAnsi" w:cs="Arial"/>
          <w:color w:val="auto"/>
          <w:sz w:val="24"/>
          <w:szCs w:val="24"/>
        </w:rPr>
        <w:t xml:space="preserve">direction </w:t>
      </w:r>
      <w:r w:rsidR="004B32E1" w:rsidRPr="006849EE">
        <w:rPr>
          <w:rFonts w:asciiTheme="majorHAnsi" w:hAnsiTheme="majorHAnsi" w:cs="Arial"/>
          <w:color w:val="auto"/>
          <w:sz w:val="24"/>
          <w:szCs w:val="24"/>
        </w:rPr>
        <w:t xml:space="preserve">,this </w:t>
      </w:r>
      <w:r w:rsidR="00502D48" w:rsidRPr="006849EE">
        <w:rPr>
          <w:rFonts w:asciiTheme="majorHAnsi" w:hAnsiTheme="majorHAnsi" w:cs="Arial"/>
          <w:color w:val="auto"/>
          <w:sz w:val="24"/>
          <w:szCs w:val="24"/>
        </w:rPr>
        <w:t>Hon’ble</w:t>
      </w:r>
      <w:r w:rsidR="004B32E1" w:rsidRPr="006849EE">
        <w:rPr>
          <w:rFonts w:asciiTheme="majorHAnsi" w:hAnsiTheme="majorHAnsi" w:cs="Arial"/>
          <w:color w:val="auto"/>
          <w:sz w:val="24"/>
          <w:szCs w:val="24"/>
        </w:rPr>
        <w:t xml:space="preserve"> Commission  determined </w:t>
      </w:r>
      <w:r w:rsidR="00397D98" w:rsidRPr="006849EE">
        <w:rPr>
          <w:rFonts w:asciiTheme="majorHAnsi" w:hAnsiTheme="majorHAnsi" w:cs="Arial"/>
          <w:color w:val="auto"/>
          <w:sz w:val="24"/>
          <w:szCs w:val="24"/>
        </w:rPr>
        <w:t xml:space="preserve">the </w:t>
      </w:r>
      <w:r w:rsidR="001227DE" w:rsidRPr="006849EE">
        <w:rPr>
          <w:rFonts w:asciiTheme="majorHAnsi" w:hAnsiTheme="majorHAnsi" w:cs="Arial"/>
          <w:color w:val="auto"/>
          <w:sz w:val="24"/>
          <w:szCs w:val="24"/>
        </w:rPr>
        <w:t xml:space="preserve">NTI attributed </w:t>
      </w:r>
      <w:r w:rsidR="006660B6" w:rsidRPr="006849EE">
        <w:rPr>
          <w:rFonts w:asciiTheme="majorHAnsi" w:hAnsiTheme="majorHAnsi" w:cs="Arial"/>
          <w:color w:val="auto"/>
          <w:sz w:val="24"/>
          <w:szCs w:val="24"/>
        </w:rPr>
        <w:t>to DVC</w:t>
      </w:r>
      <w:r w:rsidR="00BB757E" w:rsidRPr="006849EE">
        <w:rPr>
          <w:rFonts w:asciiTheme="majorHAnsi" w:hAnsiTheme="majorHAnsi" w:cs="Arial"/>
          <w:color w:val="auto"/>
          <w:sz w:val="24"/>
          <w:szCs w:val="24"/>
        </w:rPr>
        <w:t xml:space="preserve"> by only considering </w:t>
      </w:r>
      <w:r w:rsidR="002D277F" w:rsidRPr="006849EE">
        <w:rPr>
          <w:rFonts w:asciiTheme="majorHAnsi" w:hAnsiTheme="majorHAnsi" w:cs="Arial"/>
          <w:color w:val="auto"/>
          <w:sz w:val="24"/>
          <w:szCs w:val="24"/>
        </w:rPr>
        <w:t xml:space="preserve">DPS as NTI for </w:t>
      </w:r>
      <w:r w:rsidR="006660B6" w:rsidRPr="006849EE">
        <w:rPr>
          <w:rFonts w:asciiTheme="majorHAnsi" w:hAnsiTheme="majorHAnsi" w:cs="Arial"/>
          <w:color w:val="auto"/>
          <w:sz w:val="24"/>
          <w:szCs w:val="24"/>
        </w:rPr>
        <w:t xml:space="preserve"> </w:t>
      </w:r>
      <w:r w:rsidR="008B235C" w:rsidRPr="006849EE">
        <w:rPr>
          <w:rFonts w:asciiTheme="majorHAnsi" w:hAnsiTheme="majorHAnsi" w:cs="Arial"/>
          <w:color w:val="auto"/>
          <w:sz w:val="24"/>
          <w:szCs w:val="24"/>
        </w:rPr>
        <w:t xml:space="preserve">to DVC </w:t>
      </w:r>
      <w:r w:rsidRPr="006849EE">
        <w:rPr>
          <w:rFonts w:asciiTheme="majorHAnsi" w:hAnsiTheme="majorHAnsi" w:cs="Arial"/>
          <w:color w:val="auto"/>
          <w:sz w:val="24"/>
          <w:szCs w:val="24"/>
        </w:rPr>
        <w:t xml:space="preserve"> by distribution activity of DVC for Jharkhand command area. </w:t>
      </w:r>
    </w:p>
    <w:p w14:paraId="1A2EE392"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auto"/>
          <w:sz w:val="24"/>
          <w:szCs w:val="24"/>
        </w:rPr>
      </w:pPr>
      <w:r w:rsidRPr="006849EE">
        <w:rPr>
          <w:rFonts w:asciiTheme="majorHAnsi" w:hAnsiTheme="majorHAnsi" w:cs="Arial"/>
          <w:color w:val="auto"/>
          <w:sz w:val="24"/>
          <w:szCs w:val="24"/>
        </w:rPr>
        <w:t xml:space="preserve">DVC in this regard respectfully submits </w:t>
      </w:r>
      <w:proofErr w:type="gramStart"/>
      <w:r w:rsidRPr="006849EE">
        <w:rPr>
          <w:rFonts w:asciiTheme="majorHAnsi" w:hAnsiTheme="majorHAnsi" w:cs="Arial"/>
          <w:color w:val="auto"/>
          <w:sz w:val="24"/>
          <w:szCs w:val="24"/>
        </w:rPr>
        <w:t>that,</w:t>
      </w:r>
      <w:proofErr w:type="gramEnd"/>
      <w:r w:rsidRPr="006849EE">
        <w:rPr>
          <w:rFonts w:asciiTheme="majorHAnsi" w:hAnsiTheme="majorHAnsi" w:cs="Arial"/>
          <w:color w:val="auto"/>
          <w:sz w:val="24"/>
          <w:szCs w:val="24"/>
        </w:rPr>
        <w:t xml:space="preserve"> </w:t>
      </w:r>
      <w:r w:rsidRPr="006849EE">
        <w:rPr>
          <w:rFonts w:asciiTheme="majorHAnsi" w:eastAsia="Bookman Old Style" w:hAnsiTheme="majorHAnsi" w:cs="Arial"/>
          <w:color w:val="auto"/>
          <w:sz w:val="24"/>
          <w:szCs w:val="24"/>
        </w:rPr>
        <w:t xml:space="preserve">the Hon’ble JSERC has considered only the Delayed Payment Surcharge amount as Non-Tariff Income for Distribution Activity of DVC in the previous orders until the order dated 31.10.2023 for the period FY 2006-07 to FY 2011-12. In the order dated 31.10.2023 </w:t>
      </w:r>
      <w:proofErr w:type="gramStart"/>
      <w:r w:rsidRPr="006849EE">
        <w:rPr>
          <w:rFonts w:asciiTheme="majorHAnsi" w:eastAsia="Bookman Old Style" w:hAnsiTheme="majorHAnsi" w:cs="Arial"/>
          <w:color w:val="auto"/>
          <w:sz w:val="24"/>
          <w:szCs w:val="24"/>
        </w:rPr>
        <w:t>and also</w:t>
      </w:r>
      <w:proofErr w:type="gramEnd"/>
      <w:r w:rsidRPr="006849EE">
        <w:rPr>
          <w:rFonts w:asciiTheme="majorHAnsi" w:eastAsia="Bookman Old Style" w:hAnsiTheme="majorHAnsi" w:cs="Arial"/>
          <w:color w:val="auto"/>
          <w:sz w:val="24"/>
          <w:szCs w:val="24"/>
        </w:rPr>
        <w:t xml:space="preserve"> in subsequent orders, the Commission has considered the entire other income booked in the annual report of DVC as the Non-Tariff Income and deducted it from the ARR. Aggrieved with the order dated 31.10.2023, DVC filed appeal (being appeal no. 845 of 2023) before Hon’ble APTEL. The Hon’ble Tribunal while </w:t>
      </w:r>
      <w:proofErr w:type="gramStart"/>
      <w:r w:rsidRPr="006849EE">
        <w:rPr>
          <w:rFonts w:asciiTheme="majorHAnsi" w:eastAsia="Bookman Old Style" w:hAnsiTheme="majorHAnsi" w:cs="Arial"/>
          <w:color w:val="auto"/>
          <w:sz w:val="24"/>
          <w:szCs w:val="24"/>
        </w:rPr>
        <w:t>disposing</w:t>
      </w:r>
      <w:proofErr w:type="gramEnd"/>
      <w:r w:rsidRPr="006849EE">
        <w:rPr>
          <w:rFonts w:asciiTheme="majorHAnsi" w:eastAsia="Bookman Old Style" w:hAnsiTheme="majorHAnsi" w:cs="Arial"/>
          <w:color w:val="auto"/>
          <w:sz w:val="24"/>
          <w:szCs w:val="24"/>
        </w:rPr>
        <w:t xml:space="preserve"> the </w:t>
      </w:r>
      <w:proofErr w:type="gramStart"/>
      <w:r w:rsidRPr="006849EE">
        <w:rPr>
          <w:rFonts w:asciiTheme="majorHAnsi" w:eastAsia="Bookman Old Style" w:hAnsiTheme="majorHAnsi" w:cs="Arial"/>
          <w:color w:val="auto"/>
          <w:sz w:val="24"/>
          <w:szCs w:val="24"/>
        </w:rPr>
        <w:t>appeal</w:t>
      </w:r>
      <w:proofErr w:type="gramEnd"/>
      <w:r w:rsidRPr="006849EE">
        <w:rPr>
          <w:rFonts w:asciiTheme="majorHAnsi" w:eastAsia="Bookman Old Style" w:hAnsiTheme="majorHAnsi" w:cs="Arial"/>
          <w:color w:val="auto"/>
          <w:sz w:val="24"/>
          <w:szCs w:val="24"/>
        </w:rPr>
        <w:t xml:space="preserve"> vide order dated 05.02.2024, held the following, </w:t>
      </w:r>
    </w:p>
    <w:p w14:paraId="13DD26DE" w14:textId="77777777" w:rsidR="00CF041A" w:rsidRPr="006849EE" w:rsidRDefault="00CF041A" w:rsidP="00CF041A">
      <w:pPr>
        <w:widowControl w:val="0"/>
        <w:spacing w:line="276" w:lineRule="auto"/>
        <w:ind w:left="1440"/>
        <w:jc w:val="both"/>
        <w:rPr>
          <w:rFonts w:asciiTheme="majorHAnsi" w:eastAsia="Bookman Old Style" w:hAnsiTheme="majorHAnsi" w:cs="Arial"/>
          <w:color w:val="000000" w:themeColor="text1"/>
          <w:sz w:val="24"/>
          <w:szCs w:val="24"/>
        </w:rPr>
      </w:pPr>
      <w:r w:rsidRPr="006849EE">
        <w:rPr>
          <w:rFonts w:asciiTheme="majorHAnsi" w:eastAsia="Bookman Old Style" w:hAnsiTheme="majorHAnsi" w:cs="Arial"/>
          <w:i/>
          <w:iCs/>
          <w:color w:val="000000" w:themeColor="text1"/>
          <w:sz w:val="24"/>
          <w:szCs w:val="24"/>
        </w:rPr>
        <w:t xml:space="preserve">“The 1st Respondent Commission’s jurisdiction to determine the tariff is confined only to the retail supply business of the Appellant within the State of Jharkhand, and not beyond. Consequently, the 1st Respondent Commission lacked jurisdiction to include the non-tariff income of the Appellant arising from its generation, transmission and other businesses as its non-tariff income with respect </w:t>
      </w:r>
      <w:proofErr w:type="gramStart"/>
      <w:r w:rsidRPr="006849EE">
        <w:rPr>
          <w:rFonts w:asciiTheme="majorHAnsi" w:eastAsia="Bookman Old Style" w:hAnsiTheme="majorHAnsi" w:cs="Arial"/>
          <w:i/>
          <w:iCs/>
          <w:color w:val="000000" w:themeColor="text1"/>
          <w:sz w:val="24"/>
          <w:szCs w:val="24"/>
        </w:rPr>
        <w:t>of</w:t>
      </w:r>
      <w:proofErr w:type="gramEnd"/>
      <w:r w:rsidRPr="006849EE">
        <w:rPr>
          <w:rFonts w:asciiTheme="majorHAnsi" w:eastAsia="Bookman Old Style" w:hAnsiTheme="majorHAnsi" w:cs="Arial"/>
          <w:i/>
          <w:iCs/>
          <w:color w:val="000000" w:themeColor="text1"/>
          <w:sz w:val="24"/>
          <w:szCs w:val="24"/>
        </w:rPr>
        <w:t xml:space="preserve"> its distribution business. The tariff of the Appellant, with respect to its generation and transmission business, is determined by the CERC in terms of its Regulations; determination of the tariff for its distribution business in the State of West Bengal falls within the jurisdiction of WBERC, and in the State of Jharkhand within the jurisdiction of the 1st Respondent Commission. Even if the CERC had not taken into consideration the non-tariff income derived by the Appellant from its generation, transmission and other businesses, in determining its tariff, such an error could only have been corrected by the CERC; and the mere fact that it may have a bearing on the input cost, while determining the tariff of the Appellant’s distribution business in the </w:t>
      </w:r>
      <w:proofErr w:type="spellStart"/>
      <w:r w:rsidRPr="006849EE">
        <w:rPr>
          <w:rFonts w:asciiTheme="majorHAnsi" w:eastAsia="Bookman Old Style" w:hAnsiTheme="majorHAnsi" w:cs="Arial"/>
          <w:i/>
          <w:iCs/>
          <w:color w:val="000000" w:themeColor="text1"/>
          <w:sz w:val="24"/>
          <w:szCs w:val="24"/>
        </w:rPr>
        <w:t>Sate</w:t>
      </w:r>
      <w:proofErr w:type="spellEnd"/>
      <w:r w:rsidRPr="006849EE">
        <w:rPr>
          <w:rFonts w:asciiTheme="majorHAnsi" w:eastAsia="Bookman Old Style" w:hAnsiTheme="majorHAnsi" w:cs="Arial"/>
          <w:i/>
          <w:iCs/>
          <w:color w:val="000000" w:themeColor="text1"/>
          <w:sz w:val="24"/>
          <w:szCs w:val="24"/>
        </w:rPr>
        <w:t xml:space="preserve"> of Jharkhand, would not confer jurisdiction on the 1st Respondent to reduce such </w:t>
      </w:r>
      <w:r w:rsidRPr="006849EE">
        <w:rPr>
          <w:rFonts w:asciiTheme="majorHAnsi" w:eastAsia="Bookman Old Style" w:hAnsiTheme="majorHAnsi" w:cs="Arial"/>
          <w:i/>
          <w:iCs/>
          <w:color w:val="000000" w:themeColor="text1"/>
          <w:sz w:val="24"/>
          <w:szCs w:val="24"/>
        </w:rPr>
        <w:lastRenderedPageBreak/>
        <w:t>non-tariff income from the annual revenue requirement of the Appellant for its distribution business in State of Jharkhand.</w:t>
      </w:r>
      <w:r w:rsidRPr="006849EE">
        <w:rPr>
          <w:rFonts w:asciiTheme="majorHAnsi" w:eastAsia="Bookman Old Style" w:hAnsiTheme="majorHAnsi" w:cs="Arial"/>
          <w:color w:val="000000" w:themeColor="text1"/>
          <w:sz w:val="24"/>
          <w:szCs w:val="24"/>
        </w:rPr>
        <w:t> </w:t>
      </w:r>
    </w:p>
    <w:p w14:paraId="2628C96C" w14:textId="77777777" w:rsidR="00CF041A" w:rsidRPr="006849EE" w:rsidRDefault="00CF041A" w:rsidP="00CF041A">
      <w:pPr>
        <w:widowControl w:val="0"/>
        <w:spacing w:line="276" w:lineRule="auto"/>
        <w:ind w:left="1440"/>
        <w:jc w:val="both"/>
        <w:rPr>
          <w:rFonts w:asciiTheme="majorHAnsi" w:eastAsia="Bookman Old Style" w:hAnsiTheme="majorHAnsi" w:cs="Arial"/>
          <w:i/>
          <w:iCs/>
          <w:color w:val="000000" w:themeColor="text1"/>
          <w:sz w:val="24"/>
          <w:szCs w:val="24"/>
        </w:rPr>
      </w:pPr>
      <w:r w:rsidRPr="006849EE">
        <w:rPr>
          <w:rFonts w:asciiTheme="majorHAnsi" w:eastAsia="Bookman Old Style" w:hAnsiTheme="majorHAnsi" w:cs="Arial"/>
          <w:i/>
          <w:iCs/>
          <w:color w:val="000000" w:themeColor="text1"/>
          <w:sz w:val="24"/>
          <w:szCs w:val="24"/>
        </w:rPr>
        <w:t>Since determination of the non-tariff income of the Appellant will have a bearing on determination of their ARR for FY 2006-07 to FY 2011-12, we request the Commission to undertake the exercise with utmost expedition, and endeavor to pass an order afresh at the earliest, preferably within three months from the date of receipt of a copy of this order. Needless to state that, before passing an order afresh in the light of the aforesaid observations, all the parties to the proceedings shall be afforded a reasonable opportunity of being heard. The appeal is, accordingly, disposed of. All pending IAs, if any, shall stand disposed of.”</w:t>
      </w:r>
    </w:p>
    <w:p w14:paraId="05C4059C" w14:textId="77777777" w:rsidR="00CF041A" w:rsidRPr="006849EE" w:rsidRDefault="00CF041A" w:rsidP="00CF041A">
      <w:pPr>
        <w:widowControl w:val="0"/>
        <w:ind w:left="1440"/>
        <w:jc w:val="both"/>
        <w:rPr>
          <w:rFonts w:asciiTheme="majorHAnsi" w:eastAsia="Bookman Old Style" w:hAnsiTheme="majorHAnsi" w:cs="Arial"/>
          <w:i/>
          <w:iCs/>
          <w:color w:val="000000" w:themeColor="text1"/>
          <w:sz w:val="24"/>
          <w:szCs w:val="24"/>
        </w:rPr>
      </w:pPr>
    </w:p>
    <w:p w14:paraId="4C17EF30"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auto"/>
          <w:sz w:val="24"/>
          <w:szCs w:val="24"/>
        </w:rPr>
      </w:pPr>
      <w:proofErr w:type="gramStart"/>
      <w:r w:rsidRPr="006849EE">
        <w:rPr>
          <w:rFonts w:asciiTheme="majorHAnsi" w:eastAsia="Bookman Old Style" w:hAnsiTheme="majorHAnsi" w:cs="Arial"/>
          <w:color w:val="auto"/>
          <w:sz w:val="24"/>
          <w:szCs w:val="24"/>
        </w:rPr>
        <w:t>Hon’ble JSERC</w:t>
      </w:r>
      <w:proofErr w:type="gramEnd"/>
      <w:r w:rsidRPr="006849EE">
        <w:rPr>
          <w:rFonts w:asciiTheme="majorHAnsi" w:eastAsia="Bookman Old Style" w:hAnsiTheme="majorHAnsi" w:cs="Arial"/>
          <w:color w:val="auto"/>
          <w:sz w:val="24"/>
          <w:szCs w:val="24"/>
        </w:rPr>
        <w:t xml:space="preserve"> </w:t>
      </w:r>
      <w:r w:rsidRPr="006849EE">
        <w:rPr>
          <w:rFonts w:asciiTheme="majorHAnsi" w:eastAsiaTheme="majorEastAsia" w:hAnsiTheme="majorHAnsi" w:cs="Arial"/>
          <w:color w:val="auto"/>
          <w:sz w:val="24"/>
          <w:szCs w:val="24"/>
        </w:rPr>
        <w:t>thereafter</w:t>
      </w:r>
      <w:r w:rsidRPr="006849EE">
        <w:rPr>
          <w:rFonts w:asciiTheme="majorHAnsi" w:eastAsia="Bookman Old Style" w:hAnsiTheme="majorHAnsi" w:cs="Arial"/>
          <w:color w:val="auto"/>
          <w:sz w:val="24"/>
          <w:szCs w:val="24"/>
        </w:rPr>
        <w:t xml:space="preserve">, directed DVC to submit segregated NTI among its various businesses. DVC complied with the same and submitted segregated NTI. However, in the revised order dated 23.07.2024, this Hon’ble Commission again considered entire ‘Other Income’ as Non-Tariff Income for distribution business as was decided in the order dated 31.10.2023. </w:t>
      </w:r>
    </w:p>
    <w:p w14:paraId="4D3FE325"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FF0000"/>
          <w:sz w:val="24"/>
          <w:szCs w:val="24"/>
        </w:rPr>
      </w:pPr>
      <w:r w:rsidRPr="006849EE">
        <w:rPr>
          <w:rFonts w:asciiTheme="majorHAnsi" w:eastAsia="Bookman Old Style" w:hAnsiTheme="majorHAnsi" w:cs="Arial"/>
          <w:color w:val="auto"/>
          <w:sz w:val="24"/>
          <w:szCs w:val="24"/>
        </w:rPr>
        <w:t xml:space="preserve">Being </w:t>
      </w:r>
      <w:r w:rsidRPr="006849EE">
        <w:rPr>
          <w:rFonts w:asciiTheme="majorHAnsi" w:hAnsiTheme="majorHAnsi" w:cs="Arial"/>
          <w:color w:val="auto"/>
          <w:sz w:val="24"/>
          <w:szCs w:val="24"/>
        </w:rPr>
        <w:t>aggrieved</w:t>
      </w:r>
      <w:r w:rsidRPr="006849EE">
        <w:rPr>
          <w:rFonts w:asciiTheme="majorHAnsi" w:eastAsia="Bookman Old Style" w:hAnsiTheme="majorHAnsi" w:cs="Arial"/>
          <w:color w:val="auto"/>
          <w:sz w:val="24"/>
          <w:szCs w:val="24"/>
        </w:rPr>
        <w:t>, DVC filed another appeal before APTEL (being the appeal No. 332 of 2024 &amp; IA No. 1282 of 2024) against the order dated 23.07.2024.</w:t>
      </w:r>
      <w:r w:rsidRPr="006849EE">
        <w:rPr>
          <w:rFonts w:asciiTheme="majorHAnsi" w:eastAsia="Bookman Old Style" w:hAnsiTheme="majorHAnsi" w:cs="Arial"/>
          <w:color w:val="FF0000"/>
          <w:sz w:val="24"/>
          <w:szCs w:val="24"/>
        </w:rPr>
        <w:t xml:space="preserve"> </w:t>
      </w:r>
      <w:r w:rsidRPr="006849EE">
        <w:rPr>
          <w:rFonts w:asciiTheme="majorHAnsi" w:eastAsia="Bookman Old Style" w:hAnsiTheme="majorHAnsi" w:cs="Arial"/>
          <w:color w:val="auto"/>
          <w:sz w:val="24"/>
          <w:szCs w:val="24"/>
        </w:rPr>
        <w:t xml:space="preserve">The appeal emphasizes that NTI should only include income from the licensed distribution business in Jharkhand. </w:t>
      </w:r>
      <w:r w:rsidRPr="006849EE">
        <w:rPr>
          <w:rFonts w:asciiTheme="majorHAnsi" w:eastAsia="Bookman Old Style" w:hAnsiTheme="majorHAnsi" w:cs="Arial"/>
          <w:color w:val="FF0000"/>
          <w:sz w:val="24"/>
          <w:szCs w:val="24"/>
        </w:rPr>
        <w:t xml:space="preserve"> </w:t>
      </w:r>
      <w:r w:rsidRPr="006849EE">
        <w:rPr>
          <w:rFonts w:asciiTheme="majorHAnsi" w:eastAsia="Bookman Old Style" w:hAnsiTheme="majorHAnsi" w:cs="Arial"/>
          <w:color w:val="auto"/>
          <w:sz w:val="24"/>
          <w:szCs w:val="24"/>
        </w:rPr>
        <w:t xml:space="preserve">After hearing the matter, the Hon’ble APTEL in its judgment dated 15.10.2024 has </w:t>
      </w:r>
      <w:proofErr w:type="gramStart"/>
      <w:r w:rsidRPr="006849EE">
        <w:rPr>
          <w:rFonts w:asciiTheme="majorHAnsi" w:eastAsia="Bookman Old Style" w:hAnsiTheme="majorHAnsi" w:cs="Arial"/>
          <w:color w:val="auto"/>
          <w:sz w:val="24"/>
          <w:szCs w:val="24"/>
        </w:rPr>
        <w:t>held</w:t>
      </w:r>
      <w:proofErr w:type="gramEnd"/>
      <w:r w:rsidRPr="006849EE">
        <w:rPr>
          <w:rFonts w:asciiTheme="majorHAnsi" w:eastAsia="Bookman Old Style" w:hAnsiTheme="majorHAnsi" w:cs="Arial"/>
          <w:color w:val="auto"/>
          <w:sz w:val="24"/>
          <w:szCs w:val="24"/>
        </w:rPr>
        <w:t xml:space="preserve"> as under: </w:t>
      </w:r>
    </w:p>
    <w:p w14:paraId="26F9F30F" w14:textId="77777777" w:rsidR="00CF041A" w:rsidRPr="006849EE" w:rsidRDefault="00CF041A" w:rsidP="00CF041A">
      <w:pPr>
        <w:pStyle w:val="ListParagraph"/>
        <w:widowControl w:val="0"/>
        <w:spacing w:line="288" w:lineRule="auto"/>
        <w:ind w:left="1560"/>
        <w:contextualSpacing w:val="0"/>
        <w:jc w:val="both"/>
        <w:rPr>
          <w:rFonts w:asciiTheme="majorHAnsi" w:eastAsia="Bookman Old Style" w:hAnsiTheme="majorHAnsi" w:cs="Arial"/>
          <w:i/>
          <w:iCs/>
          <w:color w:val="auto"/>
          <w:sz w:val="24"/>
          <w:szCs w:val="24"/>
        </w:rPr>
      </w:pPr>
      <w:r w:rsidRPr="006849EE">
        <w:rPr>
          <w:rFonts w:asciiTheme="majorHAnsi" w:eastAsia="Bookman Old Style" w:hAnsiTheme="majorHAnsi" w:cs="Arial"/>
          <w:i/>
          <w:iCs/>
          <w:color w:val="auto"/>
          <w:sz w:val="24"/>
          <w:szCs w:val="24"/>
        </w:rPr>
        <w:t>“</w:t>
      </w:r>
      <w:r w:rsidRPr="006849EE">
        <w:rPr>
          <w:rFonts w:asciiTheme="majorHAnsi" w:eastAsia="Bookman Old Style" w:hAnsiTheme="majorHAnsi" w:cs="Arial"/>
          <w:b/>
          <w:bCs/>
          <w:i/>
          <w:iCs/>
          <w:color w:val="auto"/>
          <w:sz w:val="24"/>
          <w:szCs w:val="24"/>
        </w:rPr>
        <w:t xml:space="preserve">Based on the above deliberations, the impugned order is stayed to the extent that it considers entire balance NTI, other than DPS, as NTI for distribution business and JSERC is directed, as observed in the impugned order, to calculate category wise tariff for the period under consideration, taking into account only delayed payment Surcharge (DPS) as non-tariff Income for Distribution Business, </w:t>
      </w:r>
      <w:r w:rsidRPr="006849EE">
        <w:rPr>
          <w:rFonts w:asciiTheme="majorHAnsi" w:eastAsia="Bookman Old Style" w:hAnsiTheme="majorHAnsi" w:cs="Arial"/>
          <w:i/>
          <w:iCs/>
          <w:color w:val="auto"/>
          <w:sz w:val="24"/>
          <w:szCs w:val="24"/>
        </w:rPr>
        <w:t xml:space="preserve">after apportioning it to Jharkhand area of sales vs total sales of DVC. Needless to state that the above directions are subject to the result of main </w:t>
      </w:r>
      <w:proofErr w:type="gramStart"/>
      <w:r w:rsidRPr="006849EE">
        <w:rPr>
          <w:rFonts w:asciiTheme="majorHAnsi" w:eastAsia="Bookman Old Style" w:hAnsiTheme="majorHAnsi" w:cs="Arial"/>
          <w:i/>
          <w:iCs/>
          <w:color w:val="auto"/>
          <w:sz w:val="24"/>
          <w:szCs w:val="24"/>
        </w:rPr>
        <w:t>appeal.”</w:t>
      </w:r>
      <w:proofErr w:type="gramEnd"/>
    </w:p>
    <w:p w14:paraId="5DEE6083" w14:textId="77777777" w:rsidR="00CF041A" w:rsidRPr="006849EE" w:rsidRDefault="00CF041A" w:rsidP="00CF041A">
      <w:pPr>
        <w:pStyle w:val="ListParagraph"/>
        <w:widowControl w:val="0"/>
        <w:ind w:left="1560"/>
        <w:contextualSpacing w:val="0"/>
        <w:jc w:val="both"/>
        <w:rPr>
          <w:rFonts w:asciiTheme="majorHAnsi" w:eastAsia="Bookman Old Style" w:hAnsiTheme="majorHAnsi" w:cs="Arial"/>
          <w:i/>
          <w:iCs/>
          <w:color w:val="auto"/>
          <w:sz w:val="24"/>
          <w:szCs w:val="24"/>
        </w:rPr>
      </w:pPr>
    </w:p>
    <w:p w14:paraId="1CF9682B"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auto"/>
          <w:sz w:val="24"/>
          <w:szCs w:val="24"/>
        </w:rPr>
      </w:pPr>
      <w:r w:rsidRPr="006849EE">
        <w:rPr>
          <w:rFonts w:asciiTheme="majorHAnsi" w:eastAsia="Bookman Old Style" w:hAnsiTheme="majorHAnsi" w:cs="Arial"/>
          <w:color w:val="auto"/>
          <w:sz w:val="24"/>
          <w:szCs w:val="24"/>
        </w:rPr>
        <w:t xml:space="preserve">In </w:t>
      </w:r>
      <w:r w:rsidRPr="006849EE">
        <w:rPr>
          <w:rFonts w:asciiTheme="majorHAnsi" w:hAnsiTheme="majorHAnsi" w:cs="Arial"/>
          <w:color w:val="auto"/>
          <w:sz w:val="24"/>
          <w:szCs w:val="24"/>
        </w:rPr>
        <w:t>compliance</w:t>
      </w:r>
      <w:r w:rsidRPr="006849EE">
        <w:rPr>
          <w:rFonts w:asciiTheme="majorHAnsi" w:eastAsia="Bookman Old Style" w:hAnsiTheme="majorHAnsi" w:cs="Arial"/>
          <w:color w:val="auto"/>
          <w:sz w:val="24"/>
          <w:szCs w:val="24"/>
        </w:rPr>
        <w:t xml:space="preserve"> </w:t>
      </w:r>
      <w:proofErr w:type="gramStart"/>
      <w:r w:rsidRPr="006849EE">
        <w:rPr>
          <w:rFonts w:asciiTheme="majorHAnsi" w:eastAsia="Bookman Old Style" w:hAnsiTheme="majorHAnsi" w:cs="Arial"/>
          <w:color w:val="auto"/>
          <w:sz w:val="24"/>
          <w:szCs w:val="24"/>
        </w:rPr>
        <w:t>to</w:t>
      </w:r>
      <w:proofErr w:type="gramEnd"/>
      <w:r w:rsidRPr="006849EE">
        <w:rPr>
          <w:rFonts w:asciiTheme="majorHAnsi" w:eastAsia="Bookman Old Style" w:hAnsiTheme="majorHAnsi" w:cs="Arial"/>
          <w:color w:val="auto"/>
          <w:sz w:val="24"/>
          <w:szCs w:val="24"/>
        </w:rPr>
        <w:t xml:space="preserve"> the above directives given by the Hon’ble Tribunal, Hon’ble JSERC issued the revised category wise retail supply tariff order for FY 2006-07 to FY 2011-12 on 10.12.2024 after considering Delayed Payment Surcharge as the only Non-Tariff </w:t>
      </w:r>
      <w:proofErr w:type="spellStart"/>
      <w:r w:rsidRPr="006849EE">
        <w:rPr>
          <w:rFonts w:asciiTheme="majorHAnsi" w:eastAsia="Bookman Old Style" w:hAnsiTheme="majorHAnsi" w:cs="Arial"/>
          <w:color w:val="auto"/>
          <w:sz w:val="24"/>
          <w:szCs w:val="24"/>
        </w:rPr>
        <w:t>Incomeof</w:t>
      </w:r>
      <w:proofErr w:type="spellEnd"/>
      <w:r w:rsidRPr="006849EE">
        <w:rPr>
          <w:rFonts w:asciiTheme="majorHAnsi" w:eastAsia="Bookman Old Style" w:hAnsiTheme="majorHAnsi" w:cs="Arial"/>
          <w:color w:val="auto"/>
          <w:sz w:val="24"/>
          <w:szCs w:val="24"/>
        </w:rPr>
        <w:t xml:space="preserve"> distribution business in the state of Jharkhand. It is also pertinent to mention here that on 27.01.2025, the Hon'ble Supreme Court refused to interfere with the Order dated 15.10.2024 passed by the Hon'ble Tribunal and </w:t>
      </w:r>
      <w:r w:rsidRPr="006849EE">
        <w:rPr>
          <w:rFonts w:asciiTheme="majorHAnsi" w:eastAsia="Bookman Old Style" w:hAnsiTheme="majorHAnsi" w:cs="Arial"/>
          <w:color w:val="auto"/>
          <w:sz w:val="24"/>
          <w:szCs w:val="24"/>
        </w:rPr>
        <w:lastRenderedPageBreak/>
        <w:t>dismissed the Civil Appeals filed by the Consumer Association and SAIL [CA (Diary) No. 60490 of2024 and CA (Diary) No. 60807 of 2024].</w:t>
      </w:r>
    </w:p>
    <w:p w14:paraId="271E06A6" w14:textId="6051F497" w:rsidR="00CF041A" w:rsidRPr="006849EE" w:rsidRDefault="00CF041A" w:rsidP="00CF041A">
      <w:pPr>
        <w:widowControl w:val="0"/>
        <w:spacing w:line="360" w:lineRule="auto"/>
        <w:ind w:left="720"/>
        <w:jc w:val="both"/>
        <w:rPr>
          <w:rFonts w:asciiTheme="majorHAnsi" w:eastAsia="Bookman Old Style" w:hAnsiTheme="majorHAnsi" w:cs="Arial"/>
          <w:color w:val="auto"/>
          <w:sz w:val="24"/>
          <w:szCs w:val="24"/>
        </w:rPr>
      </w:pPr>
      <w:r w:rsidRPr="006849EE">
        <w:rPr>
          <w:rFonts w:asciiTheme="majorHAnsi" w:eastAsia="Bookman Old Style" w:hAnsiTheme="majorHAnsi" w:cs="Arial"/>
          <w:color w:val="auto"/>
          <w:sz w:val="24"/>
          <w:szCs w:val="24"/>
        </w:rPr>
        <w:t xml:space="preserve">A copy of the order dated 27.01.2025 passed by the Hon'ble Supreme Court in CA (Diary) No. 60490 of 2024 and CA (Diary) No. 60807 of 2024along </w:t>
      </w:r>
      <w:proofErr w:type="gramStart"/>
      <w:r w:rsidRPr="006849EE">
        <w:rPr>
          <w:rFonts w:asciiTheme="majorHAnsi" w:eastAsia="Bookman Old Style" w:hAnsiTheme="majorHAnsi" w:cs="Arial"/>
          <w:color w:val="auto"/>
          <w:sz w:val="24"/>
          <w:szCs w:val="24"/>
        </w:rPr>
        <w:t>with  relevant</w:t>
      </w:r>
      <w:proofErr w:type="gramEnd"/>
      <w:r w:rsidRPr="006849EE">
        <w:rPr>
          <w:rFonts w:asciiTheme="majorHAnsi" w:eastAsia="Bookman Old Style" w:hAnsiTheme="majorHAnsi" w:cs="Arial"/>
          <w:color w:val="auto"/>
          <w:sz w:val="24"/>
          <w:szCs w:val="24"/>
        </w:rPr>
        <w:t xml:space="preserve"> portion of the judgments dated 05.02.2024 and 15.10.2024</w:t>
      </w:r>
      <w:r w:rsidR="14B14C77" w:rsidRPr="006849EE">
        <w:rPr>
          <w:rFonts w:asciiTheme="majorHAnsi" w:eastAsia="Bookman Old Style" w:hAnsiTheme="majorHAnsi" w:cs="Arial"/>
          <w:color w:val="auto"/>
          <w:sz w:val="24"/>
          <w:szCs w:val="24"/>
        </w:rPr>
        <w:t xml:space="preserve"> </w:t>
      </w:r>
      <w:r w:rsidRPr="006849EE">
        <w:rPr>
          <w:rFonts w:asciiTheme="majorHAnsi" w:eastAsia="Bookman Old Style" w:hAnsiTheme="majorHAnsi" w:cs="Arial"/>
          <w:color w:val="auto"/>
          <w:sz w:val="24"/>
          <w:szCs w:val="24"/>
        </w:rPr>
        <w:t xml:space="preserve">are attached herewith as </w:t>
      </w:r>
      <w:r w:rsidRPr="006849EE">
        <w:rPr>
          <w:rFonts w:asciiTheme="majorHAnsi" w:eastAsia="Bookman Old Style" w:hAnsiTheme="majorHAnsi" w:cs="Arial"/>
          <w:b/>
          <w:color w:val="auto"/>
          <w:sz w:val="24"/>
          <w:szCs w:val="24"/>
        </w:rPr>
        <w:t>A</w:t>
      </w:r>
      <w:r w:rsidR="00E3766B" w:rsidRPr="006849EE">
        <w:rPr>
          <w:rFonts w:asciiTheme="majorHAnsi" w:eastAsia="Bookman Old Style" w:hAnsiTheme="majorHAnsi" w:cs="Arial"/>
          <w:b/>
          <w:color w:val="auto"/>
          <w:sz w:val="24"/>
          <w:szCs w:val="24"/>
        </w:rPr>
        <w:t>NNEXURE-8</w:t>
      </w:r>
      <w:r w:rsidRPr="006849EE">
        <w:rPr>
          <w:rFonts w:asciiTheme="majorHAnsi" w:eastAsia="Bookman Old Style" w:hAnsiTheme="majorHAnsi" w:cs="Arial"/>
          <w:color w:val="auto"/>
          <w:sz w:val="24"/>
          <w:szCs w:val="24"/>
        </w:rPr>
        <w:t xml:space="preserve">.  </w:t>
      </w:r>
    </w:p>
    <w:p w14:paraId="45F1DDA7"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auto"/>
          <w:sz w:val="24"/>
          <w:szCs w:val="24"/>
        </w:rPr>
      </w:pPr>
      <w:r w:rsidRPr="006849EE">
        <w:rPr>
          <w:rFonts w:asciiTheme="majorHAnsi" w:eastAsia="Bookman Old Style" w:hAnsiTheme="majorHAnsi" w:cs="Arial"/>
          <w:color w:val="auto"/>
          <w:sz w:val="24"/>
          <w:szCs w:val="24"/>
        </w:rPr>
        <w:t xml:space="preserve">This </w:t>
      </w:r>
      <w:r w:rsidRPr="006849EE">
        <w:rPr>
          <w:rFonts w:asciiTheme="majorHAnsi" w:hAnsiTheme="majorHAnsi" w:cs="Arial"/>
          <w:color w:val="auto"/>
          <w:sz w:val="24"/>
          <w:szCs w:val="24"/>
        </w:rPr>
        <w:t>Hon’ble</w:t>
      </w:r>
      <w:r w:rsidRPr="006849EE">
        <w:rPr>
          <w:rFonts w:asciiTheme="majorHAnsi" w:eastAsia="Bookman Old Style" w:hAnsiTheme="majorHAnsi" w:cs="Arial"/>
          <w:color w:val="auto"/>
          <w:sz w:val="24"/>
          <w:szCs w:val="24"/>
        </w:rPr>
        <w:t xml:space="preserve"> Commission may graciously be pleased to appreciate the fact that though the afore-stated directions belong to the period FY 2006-07 and FY 2011-12, but, so far as the legitimacy for consideration of the different line items of ‘Other Income’ of DVC as per the Audited Annual Accounts is already settled by the Hon’ble APTEL in the judgments dated 05.02.2024 and 15.10.2024. </w:t>
      </w:r>
    </w:p>
    <w:p w14:paraId="6AD13737"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auto"/>
          <w:sz w:val="24"/>
          <w:szCs w:val="24"/>
        </w:rPr>
      </w:pPr>
      <w:r w:rsidRPr="006849EE">
        <w:rPr>
          <w:rFonts w:asciiTheme="majorHAnsi" w:eastAsia="Bookman Old Style" w:hAnsiTheme="majorHAnsi" w:cs="Arial"/>
          <w:color w:val="auto"/>
          <w:sz w:val="24"/>
          <w:szCs w:val="24"/>
        </w:rPr>
        <w:t xml:space="preserve">More </w:t>
      </w:r>
      <w:r w:rsidRPr="006849EE">
        <w:rPr>
          <w:rFonts w:asciiTheme="majorHAnsi" w:hAnsiTheme="majorHAnsi" w:cs="Arial"/>
          <w:color w:val="auto"/>
          <w:sz w:val="24"/>
          <w:szCs w:val="24"/>
        </w:rPr>
        <w:t>precisely</w:t>
      </w:r>
      <w:r w:rsidRPr="006849EE">
        <w:rPr>
          <w:rFonts w:asciiTheme="majorHAnsi" w:eastAsia="Bookman Old Style" w:hAnsiTheme="majorHAnsi" w:cs="Arial"/>
          <w:color w:val="auto"/>
          <w:sz w:val="24"/>
          <w:szCs w:val="24"/>
        </w:rPr>
        <w:t xml:space="preserve"> Hon’ble APTEL has specifically directed the Hon’ble Commission in the judgment dated 15.10.2024 to consider only the DPS arising out of Jharkhand consumers as NTI for finalizing the ARR and Tariff therefrom. It is also not out of place to mention again that this Hon’ble Commission in previous orders also acted in the same line. Moreover, Hon’ble </w:t>
      </w:r>
      <w:proofErr w:type="gramStart"/>
      <w:r w:rsidRPr="006849EE">
        <w:rPr>
          <w:rFonts w:asciiTheme="majorHAnsi" w:eastAsia="Bookman Old Style" w:hAnsiTheme="majorHAnsi" w:cs="Arial"/>
          <w:color w:val="auto"/>
          <w:sz w:val="24"/>
          <w:szCs w:val="24"/>
        </w:rPr>
        <w:t>WBERC</w:t>
      </w:r>
      <w:proofErr w:type="gramEnd"/>
      <w:r w:rsidRPr="006849EE">
        <w:rPr>
          <w:rFonts w:asciiTheme="majorHAnsi" w:eastAsia="Bookman Old Style" w:hAnsiTheme="majorHAnsi" w:cs="Arial"/>
          <w:color w:val="auto"/>
          <w:sz w:val="24"/>
          <w:szCs w:val="24"/>
        </w:rPr>
        <w:t xml:space="preserve"> in all the tariff orders issued so far, has considered only the DPS for distribution business of DVC as NTI. </w:t>
      </w:r>
    </w:p>
    <w:p w14:paraId="77403A3B" w14:textId="77777777" w:rsidR="00CF041A" w:rsidRPr="006849EE" w:rsidRDefault="00CF041A" w:rsidP="00FB18C1">
      <w:pPr>
        <w:numPr>
          <w:ilvl w:val="0"/>
          <w:numId w:val="1"/>
        </w:numPr>
        <w:tabs>
          <w:tab w:val="clear" w:pos="1080"/>
          <w:tab w:val="num" w:pos="735"/>
        </w:tabs>
        <w:spacing w:line="360" w:lineRule="auto"/>
        <w:ind w:left="734" w:hanging="735"/>
        <w:jc w:val="both"/>
        <w:rPr>
          <w:rFonts w:asciiTheme="majorHAnsi" w:eastAsia="Bookman Old Style" w:hAnsiTheme="majorHAnsi" w:cs="Arial"/>
          <w:color w:val="auto"/>
          <w:sz w:val="24"/>
          <w:szCs w:val="24"/>
        </w:rPr>
      </w:pPr>
      <w:r w:rsidRPr="006849EE">
        <w:rPr>
          <w:rFonts w:asciiTheme="majorHAnsi" w:eastAsia="Bookman Old Style" w:hAnsiTheme="majorHAnsi" w:cs="Arial"/>
          <w:color w:val="auto"/>
          <w:sz w:val="24"/>
          <w:szCs w:val="24"/>
        </w:rPr>
        <w:t xml:space="preserve">Therefore, it is respectfully submitted that the issue relating to the scope and contours of “Non-Tariff Income” for DVC’s distribution business already stands conclusively settled for the period FY 2006-07 to FY 2011-12 under an identical regulatory framework. The applicable JSERC Tariff Regulations both then and now provide that only DPS may be considered as Non-Tariff Income for the purpose of determining the ARR of the distribution licensee. </w:t>
      </w:r>
    </w:p>
    <w:p w14:paraId="5F48BE00" w14:textId="77777777" w:rsidR="00C57028" w:rsidRPr="006849EE" w:rsidRDefault="00C57028" w:rsidP="00ED752B">
      <w:pPr>
        <w:spacing w:line="360" w:lineRule="auto"/>
        <w:ind w:left="734"/>
        <w:jc w:val="both"/>
        <w:rPr>
          <w:rFonts w:asciiTheme="majorHAnsi" w:hAnsiTheme="majorHAnsi" w:cs="Arial"/>
          <w:color w:val="auto"/>
          <w:sz w:val="24"/>
          <w:szCs w:val="24"/>
        </w:rPr>
      </w:pPr>
    </w:p>
    <w:p w14:paraId="5BEF8816" w14:textId="7ED579F0" w:rsidR="00F15117" w:rsidRPr="006849EE" w:rsidRDefault="00F15117" w:rsidP="00FB18C1">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Hence, DVC prays before the Commission to accept the Non-Tariff Income based on the claim to consider only DPS as the only Non-Tariff Income attributed to DVC for the distribution business over Jharkhand command area. </w:t>
      </w:r>
    </w:p>
    <w:p w14:paraId="6A414290" w14:textId="77777777" w:rsidR="00973017" w:rsidRPr="006849EE" w:rsidRDefault="00973017" w:rsidP="00973017">
      <w:pPr>
        <w:spacing w:line="360" w:lineRule="auto"/>
        <w:ind w:left="734"/>
        <w:jc w:val="both"/>
        <w:rPr>
          <w:rFonts w:asciiTheme="majorHAnsi" w:hAnsiTheme="majorHAnsi" w:cs="Arial"/>
          <w:color w:val="auto"/>
          <w:sz w:val="24"/>
          <w:szCs w:val="24"/>
        </w:rPr>
      </w:pPr>
    </w:p>
    <w:p w14:paraId="7286B739" w14:textId="77777777" w:rsidR="00E349AC" w:rsidRPr="006849EE" w:rsidRDefault="00E349AC" w:rsidP="00E349AC">
      <w:pPr>
        <w:pStyle w:val="ListParagraph"/>
        <w:numPr>
          <w:ilvl w:val="0"/>
          <w:numId w:val="11"/>
        </w:numPr>
        <w:spacing w:line="360" w:lineRule="auto"/>
        <w:ind w:left="1350" w:hanging="630"/>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b/>
          <w:bCs/>
          <w:color w:val="auto"/>
          <w:sz w:val="24"/>
          <w:szCs w:val="24"/>
        </w:rPr>
        <w:t xml:space="preserve">Interest </w:t>
      </w:r>
      <w:proofErr w:type="gramStart"/>
      <w:r w:rsidRPr="006849EE">
        <w:rPr>
          <w:rFonts w:asciiTheme="majorHAnsi" w:eastAsiaTheme="majorEastAsia" w:hAnsiTheme="majorHAnsi" w:cs="Arial"/>
          <w:b/>
          <w:bCs/>
          <w:color w:val="auto"/>
          <w:sz w:val="24"/>
          <w:szCs w:val="24"/>
        </w:rPr>
        <w:t>on</w:t>
      </w:r>
      <w:proofErr w:type="gramEnd"/>
      <w:r w:rsidRPr="006849EE">
        <w:rPr>
          <w:rFonts w:asciiTheme="majorHAnsi" w:eastAsiaTheme="majorEastAsia" w:hAnsiTheme="majorHAnsi" w:cs="Arial"/>
          <w:b/>
          <w:bCs/>
          <w:color w:val="auto"/>
          <w:sz w:val="24"/>
          <w:szCs w:val="24"/>
        </w:rPr>
        <w:t xml:space="preserve"> Temporary Financial Accommodation</w:t>
      </w:r>
    </w:p>
    <w:p w14:paraId="352FF101" w14:textId="77777777" w:rsidR="00E349AC" w:rsidRPr="006849EE" w:rsidRDefault="00E349AC" w:rsidP="00FB18C1">
      <w:pPr>
        <w:numPr>
          <w:ilvl w:val="0"/>
          <w:numId w:val="1"/>
        </w:numPr>
        <w:tabs>
          <w:tab w:val="clear" w:pos="1080"/>
          <w:tab w:val="num" w:pos="735"/>
        </w:tabs>
        <w:spacing w:line="360" w:lineRule="auto"/>
        <w:ind w:left="734" w:hanging="735"/>
        <w:jc w:val="both"/>
        <w:rPr>
          <w:rFonts w:asciiTheme="majorHAnsi" w:hAnsiTheme="majorHAnsi"/>
          <w:color w:val="auto"/>
          <w:sz w:val="24"/>
          <w:szCs w:val="24"/>
        </w:rPr>
      </w:pPr>
      <w:r w:rsidRPr="006849EE">
        <w:rPr>
          <w:rFonts w:asciiTheme="majorHAnsi" w:eastAsiaTheme="majorEastAsia" w:hAnsiTheme="majorHAnsi" w:cs="Arial"/>
          <w:color w:val="auto"/>
          <w:sz w:val="24"/>
          <w:szCs w:val="24"/>
        </w:rPr>
        <w:t xml:space="preserve">Interest </w:t>
      </w:r>
      <w:proofErr w:type="gramStart"/>
      <w:r w:rsidRPr="006849EE">
        <w:rPr>
          <w:rFonts w:asciiTheme="majorHAnsi" w:hAnsiTheme="majorHAnsi" w:cs="Arial"/>
          <w:color w:val="auto"/>
          <w:sz w:val="24"/>
          <w:szCs w:val="24"/>
        </w:rPr>
        <w:t>on</w:t>
      </w:r>
      <w:proofErr w:type="gramEnd"/>
      <w:r w:rsidRPr="006849EE">
        <w:rPr>
          <w:rFonts w:asciiTheme="majorHAnsi" w:eastAsiaTheme="majorEastAsia" w:hAnsiTheme="majorHAnsi" w:cs="Arial"/>
          <w:color w:val="auto"/>
          <w:sz w:val="24"/>
          <w:szCs w:val="24"/>
        </w:rPr>
        <w:t xml:space="preserve"> Temporary Financial Accommodation has been estimated for the control period by escalating the actual interest booked for FY 2024-25 for Jharkhand by 2% each year for the control period.</w:t>
      </w:r>
    </w:p>
    <w:p w14:paraId="3EE8580D" w14:textId="77777777" w:rsidR="00E349AC" w:rsidRPr="006849EE" w:rsidRDefault="00E349AC" w:rsidP="00E349AC">
      <w:pPr>
        <w:spacing w:line="360" w:lineRule="auto"/>
        <w:jc w:val="both"/>
        <w:rPr>
          <w:rFonts w:asciiTheme="majorHAnsi" w:eastAsiaTheme="majorEastAsia" w:hAnsiTheme="majorHAnsi" w:cs="Arial"/>
          <w:b/>
          <w:bCs/>
          <w:color w:val="auto"/>
          <w:sz w:val="24"/>
          <w:szCs w:val="24"/>
          <w:u w:val="single"/>
        </w:rPr>
      </w:pPr>
    </w:p>
    <w:p w14:paraId="7459A7E7" w14:textId="422C7745" w:rsidR="00973017" w:rsidRPr="006849EE" w:rsidRDefault="00973017" w:rsidP="00AA6192">
      <w:pPr>
        <w:pStyle w:val="ListParagraph"/>
        <w:numPr>
          <w:ilvl w:val="0"/>
          <w:numId w:val="11"/>
        </w:numPr>
        <w:spacing w:line="360" w:lineRule="auto"/>
        <w:ind w:left="1350" w:hanging="630"/>
        <w:jc w:val="both"/>
        <w:rPr>
          <w:rFonts w:asciiTheme="majorHAnsi" w:eastAsiaTheme="majorEastAsia" w:hAnsiTheme="majorHAnsi" w:cs="Arial"/>
          <w:b/>
          <w:bCs/>
          <w:color w:val="auto"/>
          <w:sz w:val="24"/>
          <w:szCs w:val="24"/>
          <w:u w:val="single"/>
        </w:rPr>
      </w:pPr>
      <w:r w:rsidRPr="006849EE">
        <w:rPr>
          <w:rFonts w:asciiTheme="majorHAnsi" w:eastAsiaTheme="majorEastAsia" w:hAnsiTheme="majorHAnsi" w:cs="Arial"/>
          <w:b/>
          <w:bCs/>
          <w:color w:val="auto"/>
          <w:sz w:val="24"/>
          <w:szCs w:val="24"/>
          <w:u w:val="single"/>
        </w:rPr>
        <w:lastRenderedPageBreak/>
        <w:t xml:space="preserve">Beta factor” (ß) </w:t>
      </w:r>
      <w:r w:rsidRPr="006849EE">
        <w:rPr>
          <w:rFonts w:asciiTheme="majorHAnsi" w:eastAsiaTheme="majorEastAsia" w:hAnsiTheme="majorHAnsi" w:cs="Arial"/>
          <w:b/>
          <w:bCs/>
          <w:color w:val="auto"/>
          <w:sz w:val="24"/>
          <w:szCs w:val="24"/>
        </w:rPr>
        <w:t>incentive</w:t>
      </w:r>
    </w:p>
    <w:p w14:paraId="72885CB6" w14:textId="77777777" w:rsidR="00973017" w:rsidRPr="006849EE" w:rsidRDefault="00973017" w:rsidP="00973017">
      <w:pPr>
        <w:tabs>
          <w:tab w:val="left" w:pos="5954"/>
        </w:tabs>
        <w:spacing w:line="360" w:lineRule="auto"/>
        <w:ind w:left="1418"/>
        <w:contextualSpacing/>
        <w:jc w:val="both"/>
        <w:rPr>
          <w:rFonts w:asciiTheme="majorHAnsi" w:hAnsiTheme="majorHAnsi" w:cs="Arial"/>
          <w:color w:val="auto"/>
          <w:sz w:val="24"/>
          <w:szCs w:val="24"/>
        </w:rPr>
      </w:pPr>
    </w:p>
    <w:p w14:paraId="3F6BE7F6" w14:textId="05FBD914" w:rsidR="00332115" w:rsidRPr="006849EE" w:rsidRDefault="00973017" w:rsidP="00F15117">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In accordance with Clause 62(5) of the CERC (Terms and Conditions of Tariff) Regulations, 2024, the Hon’ble Commission has introduced a performance-based “beta factor” (ß) incentive for thermal generating stations, capped at 1% of the approved Annual Fixed Charges (AFC). This incentive is based on the station’s Average Monthly Frequency Response Performance and aims to promote grid stability through active frequency control. As per </w:t>
      </w:r>
      <w:r w:rsidRPr="006849EE">
        <w:rPr>
          <w:rFonts w:asciiTheme="majorHAnsi" w:eastAsiaTheme="majorEastAsia" w:hAnsiTheme="majorHAnsi" w:cs="Arial"/>
          <w:color w:val="auto"/>
          <w:sz w:val="24"/>
          <w:szCs w:val="24"/>
        </w:rPr>
        <w:t>the</w:t>
      </w:r>
      <w:r w:rsidRPr="006849EE">
        <w:rPr>
          <w:rFonts w:asciiTheme="majorHAnsi" w:hAnsiTheme="majorHAnsi" w:cs="Arial"/>
          <w:color w:val="auto"/>
          <w:sz w:val="24"/>
          <w:szCs w:val="24"/>
        </w:rPr>
        <w:t xml:space="preserve"> regulations, the beta factor is to be computed using the methodology prescribed by NLDC, approved by the Hon’ble Commission, and certified by the respective RPCs. For projection purposes, DVC has considered a beta factor as maximum of 0.31 or as certified by ERPC vide letter dated 21.10.2025. Accordingly, DVC has determined the beta factor incentive for its thermal stations and claimed the applicable portion under its distribution activity in this MYT petition for the period. </w:t>
      </w:r>
    </w:p>
    <w:p w14:paraId="70585F60" w14:textId="77777777" w:rsidR="00ED752B" w:rsidRPr="006849EE" w:rsidRDefault="00ED752B" w:rsidP="00ED752B">
      <w:pPr>
        <w:spacing w:line="360" w:lineRule="auto"/>
        <w:ind w:left="734"/>
        <w:jc w:val="both"/>
        <w:rPr>
          <w:rFonts w:asciiTheme="majorHAnsi" w:hAnsiTheme="majorHAnsi" w:cs="Arial"/>
          <w:color w:val="auto"/>
          <w:sz w:val="24"/>
          <w:szCs w:val="24"/>
        </w:rPr>
      </w:pPr>
    </w:p>
    <w:p w14:paraId="2BDF5070" w14:textId="1C317491" w:rsidR="00332115" w:rsidRPr="006849EE" w:rsidRDefault="00332115" w:rsidP="00AA6192">
      <w:pPr>
        <w:pStyle w:val="ListParagraph"/>
        <w:numPr>
          <w:ilvl w:val="0"/>
          <w:numId w:val="11"/>
        </w:numPr>
        <w:spacing w:line="360" w:lineRule="auto"/>
        <w:ind w:left="1350" w:hanging="630"/>
        <w:jc w:val="both"/>
        <w:rPr>
          <w:rFonts w:asciiTheme="majorHAnsi" w:hAnsiTheme="majorHAnsi" w:cs="Arial"/>
          <w:b/>
          <w:bCs/>
          <w:color w:val="auto"/>
          <w:sz w:val="24"/>
          <w:szCs w:val="24"/>
        </w:rPr>
      </w:pPr>
      <w:r w:rsidRPr="006849EE">
        <w:rPr>
          <w:rFonts w:asciiTheme="majorHAnsi" w:hAnsiTheme="majorHAnsi" w:cs="Arial"/>
          <w:b/>
          <w:bCs/>
          <w:color w:val="auto"/>
          <w:sz w:val="24"/>
          <w:szCs w:val="24"/>
        </w:rPr>
        <w:t>Open access charges:</w:t>
      </w:r>
    </w:p>
    <w:p w14:paraId="2987F507" w14:textId="0B01447B" w:rsidR="00D17394" w:rsidRPr="006849EE" w:rsidRDefault="00D17394" w:rsidP="00FB18C1">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DVC submits that its own T&amp;D network is exclusively utilized for distribution and retail supply, after due adjustment for open access allowed. Accordingly, the entire T&amp;D cost as submitted before CERC is claimed as input cost for the distribution and retail supply business in Jharkhand and West Bengal, after adjusting open access charges in accordance with the CERC order</w:t>
      </w:r>
      <w:r w:rsidR="00FC7126" w:rsidRPr="006849EE">
        <w:rPr>
          <w:rFonts w:asciiTheme="majorHAnsi" w:hAnsiTheme="majorHAnsi" w:cs="Arial"/>
          <w:color w:val="auto"/>
          <w:sz w:val="24"/>
          <w:szCs w:val="24"/>
        </w:rPr>
        <w:t xml:space="preserve"> </w:t>
      </w:r>
      <w:r w:rsidR="00464D3E" w:rsidRPr="006849EE">
        <w:rPr>
          <w:rFonts w:asciiTheme="majorHAnsi" w:hAnsiTheme="majorHAnsi" w:cs="Arial"/>
          <w:color w:val="auto"/>
          <w:sz w:val="24"/>
          <w:szCs w:val="24"/>
        </w:rPr>
        <w:t>87/</w:t>
      </w:r>
      <w:r w:rsidR="00FC7126" w:rsidRPr="006849EE">
        <w:rPr>
          <w:rFonts w:asciiTheme="majorHAnsi" w:hAnsiTheme="majorHAnsi" w:cs="Arial"/>
          <w:color w:val="auto"/>
          <w:sz w:val="24"/>
          <w:szCs w:val="24"/>
        </w:rPr>
        <w:t>MP</w:t>
      </w:r>
      <w:r w:rsidR="00464D3E" w:rsidRPr="006849EE">
        <w:rPr>
          <w:rFonts w:asciiTheme="majorHAnsi" w:hAnsiTheme="majorHAnsi" w:cs="Arial"/>
          <w:color w:val="auto"/>
          <w:sz w:val="24"/>
          <w:szCs w:val="24"/>
        </w:rPr>
        <w:t>/2021 dated 07.08.2023</w:t>
      </w:r>
      <w:r w:rsidRPr="006849EE">
        <w:rPr>
          <w:rFonts w:asciiTheme="majorHAnsi" w:hAnsiTheme="majorHAnsi" w:cs="Arial"/>
          <w:color w:val="auto"/>
          <w:sz w:val="24"/>
          <w:szCs w:val="24"/>
        </w:rPr>
        <w:t xml:space="preserve"> </w:t>
      </w:r>
    </w:p>
    <w:p w14:paraId="58C123AA" w14:textId="04820A73" w:rsidR="00D17394" w:rsidRPr="006849EE" w:rsidRDefault="00D17394" w:rsidP="00FB18C1">
      <w:pPr>
        <w:numPr>
          <w:ilvl w:val="0"/>
          <w:numId w:val="1"/>
        </w:numPr>
        <w:tabs>
          <w:tab w:val="clear" w:pos="1080"/>
          <w:tab w:val="num" w:pos="735"/>
        </w:tabs>
        <w:spacing w:line="360" w:lineRule="auto"/>
        <w:ind w:left="734" w:hanging="735"/>
        <w:jc w:val="both"/>
        <w:rPr>
          <w:rFonts w:asciiTheme="majorHAnsi" w:hAnsiTheme="majorHAnsi" w:cs="Arial"/>
          <w:color w:val="auto"/>
          <w:sz w:val="24"/>
          <w:szCs w:val="24"/>
        </w:rPr>
      </w:pPr>
      <w:r w:rsidRPr="006849EE">
        <w:rPr>
          <w:rFonts w:asciiTheme="majorHAnsi" w:hAnsiTheme="majorHAnsi" w:cs="Arial"/>
          <w:color w:val="auto"/>
          <w:sz w:val="24"/>
          <w:szCs w:val="24"/>
        </w:rPr>
        <w:t>The actual open access charges adjusted during FY 2024–25 have been escalated by 2% annually for the control period, and the corresponding amounts have been duly factored into the ARR for subsequent years.</w:t>
      </w:r>
    </w:p>
    <w:p w14:paraId="63892E24" w14:textId="2F4081D2" w:rsidR="00CA1875" w:rsidRPr="006849EE" w:rsidRDefault="00CA1875" w:rsidP="00D17394">
      <w:pPr>
        <w:tabs>
          <w:tab w:val="left" w:pos="3119"/>
        </w:tabs>
        <w:spacing w:before="160" w:after="60" w:line="360" w:lineRule="auto"/>
        <w:ind w:left="180"/>
        <w:rPr>
          <w:rFonts w:asciiTheme="majorHAnsi" w:hAnsiTheme="majorHAnsi" w:cs="Arial"/>
          <w:color w:val="auto"/>
          <w:sz w:val="24"/>
          <w:szCs w:val="24"/>
          <w:u w:val="single"/>
        </w:rPr>
      </w:pPr>
      <w:r w:rsidRPr="006849EE">
        <w:rPr>
          <w:rFonts w:asciiTheme="majorHAnsi" w:hAnsiTheme="majorHAnsi" w:cs="Arial"/>
          <w:b/>
          <w:bCs/>
          <w:color w:val="auto"/>
          <w:sz w:val="24"/>
          <w:szCs w:val="24"/>
          <w:u w:val="single"/>
        </w:rPr>
        <w:t>SALIENT FEATURES PROPOSED IN TARIFF FOR FY 202</w:t>
      </w:r>
      <w:r w:rsidR="00FB6F06" w:rsidRPr="006849EE">
        <w:rPr>
          <w:rFonts w:asciiTheme="majorHAnsi" w:hAnsiTheme="majorHAnsi" w:cs="Arial"/>
          <w:b/>
          <w:bCs/>
          <w:color w:val="auto"/>
          <w:sz w:val="24"/>
          <w:szCs w:val="24"/>
          <w:u w:val="single"/>
        </w:rPr>
        <w:t>6</w:t>
      </w:r>
      <w:r w:rsidRPr="006849EE">
        <w:rPr>
          <w:rFonts w:asciiTheme="majorHAnsi" w:hAnsiTheme="majorHAnsi" w:cs="Arial"/>
          <w:b/>
          <w:bCs/>
          <w:color w:val="auto"/>
          <w:sz w:val="24"/>
          <w:szCs w:val="24"/>
          <w:u w:val="single"/>
        </w:rPr>
        <w:t>-2</w:t>
      </w:r>
      <w:r w:rsidR="00FB6F06" w:rsidRPr="006849EE">
        <w:rPr>
          <w:rFonts w:asciiTheme="majorHAnsi" w:hAnsiTheme="majorHAnsi" w:cs="Arial"/>
          <w:b/>
          <w:bCs/>
          <w:color w:val="auto"/>
          <w:sz w:val="24"/>
          <w:szCs w:val="24"/>
          <w:u w:val="single"/>
        </w:rPr>
        <w:t>7</w:t>
      </w:r>
      <w:r w:rsidRPr="006849EE">
        <w:rPr>
          <w:rFonts w:asciiTheme="majorHAnsi" w:hAnsiTheme="majorHAnsi" w:cs="Arial"/>
          <w:color w:val="auto"/>
          <w:sz w:val="24"/>
          <w:szCs w:val="24"/>
          <w:u w:val="single"/>
        </w:rPr>
        <w:t>: -</w:t>
      </w:r>
    </w:p>
    <w:p w14:paraId="20BC04F4" w14:textId="1902DC29"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b/>
          <w:bCs/>
          <w:color w:val="auto"/>
          <w:sz w:val="24"/>
          <w:szCs w:val="24"/>
        </w:rPr>
      </w:pPr>
      <w:r w:rsidRPr="006849EE">
        <w:rPr>
          <w:rFonts w:asciiTheme="majorHAnsi" w:eastAsiaTheme="majorEastAsia" w:hAnsiTheme="majorHAnsi" w:cs="Arial"/>
          <w:color w:val="auto"/>
          <w:sz w:val="24"/>
          <w:szCs w:val="24"/>
        </w:rPr>
        <w:t xml:space="preserve">Tariff </w:t>
      </w:r>
      <w:r w:rsidRPr="006849EE">
        <w:rPr>
          <w:rFonts w:asciiTheme="majorHAnsi" w:hAnsiTheme="majorHAnsi" w:cs="Arial"/>
          <w:color w:val="auto"/>
          <w:sz w:val="24"/>
          <w:szCs w:val="24"/>
        </w:rPr>
        <w:t>philosophy</w:t>
      </w:r>
      <w:r w:rsidRPr="006849EE">
        <w:rPr>
          <w:rFonts w:asciiTheme="majorHAnsi" w:eastAsiaTheme="majorEastAsia" w:hAnsiTheme="majorHAnsi" w:cs="Arial"/>
          <w:color w:val="auto"/>
          <w:sz w:val="24"/>
          <w:szCs w:val="24"/>
        </w:rPr>
        <w:t xml:space="preserve">, considered for the purpose of formulation and designing the tariff, is based on the latest Tariff Order issued by JSERC dated </w:t>
      </w:r>
      <w:r w:rsidR="00EA591E" w:rsidRPr="006849EE">
        <w:rPr>
          <w:rFonts w:asciiTheme="majorHAnsi" w:eastAsiaTheme="majorEastAsia" w:hAnsiTheme="majorHAnsi" w:cs="Arial"/>
          <w:color w:val="auto"/>
          <w:sz w:val="24"/>
          <w:szCs w:val="24"/>
        </w:rPr>
        <w:t xml:space="preserve">27.05.2025 </w:t>
      </w:r>
      <w:r w:rsidRPr="006849EE">
        <w:rPr>
          <w:rFonts w:asciiTheme="majorHAnsi" w:eastAsiaTheme="majorEastAsia" w:hAnsiTheme="majorHAnsi" w:cs="Arial"/>
          <w:color w:val="auto"/>
          <w:sz w:val="24"/>
          <w:szCs w:val="24"/>
        </w:rPr>
        <w:t>and is explained hereunder:</w:t>
      </w:r>
      <w:r w:rsidRPr="006849EE">
        <w:rPr>
          <w:rFonts w:asciiTheme="majorHAnsi" w:eastAsiaTheme="majorEastAsia" w:hAnsiTheme="majorHAnsi" w:cs="Arial"/>
          <w:b/>
          <w:bCs/>
          <w:color w:val="auto"/>
          <w:sz w:val="24"/>
          <w:szCs w:val="24"/>
        </w:rPr>
        <w:t xml:space="preserve"> -</w:t>
      </w:r>
    </w:p>
    <w:p w14:paraId="6816D15D" w14:textId="77777777" w:rsidR="00CA1875" w:rsidRPr="006849EE" w:rsidRDefault="00CA1875" w:rsidP="00CA1875">
      <w:pPr>
        <w:spacing w:before="60" w:after="60" w:line="360" w:lineRule="auto"/>
        <w:ind w:left="270"/>
        <w:jc w:val="both"/>
        <w:rPr>
          <w:rFonts w:asciiTheme="majorHAnsi" w:hAnsiTheme="majorHAnsi" w:cs="Arial"/>
          <w:color w:val="FF0000"/>
          <w:sz w:val="24"/>
          <w:szCs w:val="24"/>
        </w:rPr>
      </w:pPr>
    </w:p>
    <w:p w14:paraId="7E7AF1DC" w14:textId="7A1D9854" w:rsidR="008E36D3" w:rsidRPr="006849EE" w:rsidRDefault="008E36D3" w:rsidP="00B90377">
      <w:pPr>
        <w:numPr>
          <w:ilvl w:val="0"/>
          <w:numId w:val="16"/>
        </w:numPr>
        <w:spacing w:before="60" w:after="60" w:line="360" w:lineRule="auto"/>
        <w:ind w:left="2268" w:hanging="565"/>
        <w:jc w:val="both"/>
        <w:rPr>
          <w:rFonts w:asciiTheme="majorHAnsi" w:hAnsiTheme="majorHAnsi" w:cs="Arial"/>
          <w:color w:val="auto"/>
          <w:sz w:val="24"/>
          <w:szCs w:val="24"/>
          <w:u w:val="single"/>
        </w:rPr>
      </w:pPr>
      <w:r w:rsidRPr="006849EE">
        <w:rPr>
          <w:rFonts w:asciiTheme="majorHAnsi" w:hAnsiTheme="majorHAnsi" w:cs="Arial"/>
          <w:color w:val="auto"/>
          <w:sz w:val="24"/>
          <w:szCs w:val="24"/>
        </w:rPr>
        <w:t>The Hon’ble Commission, vide Order dated 27.05.2025, approved the Time of Day (TOD) and Non-TOD tariff of DVC for FY 2025–26. DVC respectfully proposes that the same tariff structure</w:t>
      </w:r>
      <w:r w:rsidR="006F40EC" w:rsidRPr="006849EE">
        <w:rPr>
          <w:rFonts w:asciiTheme="majorHAnsi" w:hAnsiTheme="majorHAnsi" w:cs="Arial"/>
          <w:color w:val="auto"/>
          <w:sz w:val="24"/>
          <w:szCs w:val="24"/>
        </w:rPr>
        <w:t xml:space="preserve"> </w:t>
      </w:r>
      <w:proofErr w:type="gramStart"/>
      <w:r w:rsidR="006F40EC" w:rsidRPr="006849EE">
        <w:rPr>
          <w:rFonts w:asciiTheme="majorHAnsi" w:hAnsiTheme="majorHAnsi" w:cs="Arial"/>
          <w:color w:val="auto"/>
          <w:sz w:val="24"/>
          <w:szCs w:val="24"/>
        </w:rPr>
        <w:t xml:space="preserve">of </w:t>
      </w:r>
      <w:r w:rsidR="00464FDB" w:rsidRPr="006849EE">
        <w:rPr>
          <w:rFonts w:asciiTheme="majorHAnsi" w:hAnsiTheme="majorHAnsi" w:cs="Arial"/>
          <w:color w:val="auto"/>
          <w:sz w:val="24"/>
          <w:szCs w:val="24"/>
        </w:rPr>
        <w:t xml:space="preserve"> </w:t>
      </w:r>
      <w:r w:rsidR="00AB52E3" w:rsidRPr="006849EE">
        <w:rPr>
          <w:rFonts w:asciiTheme="majorHAnsi" w:hAnsiTheme="majorHAnsi" w:cs="Arial"/>
          <w:color w:val="auto"/>
          <w:sz w:val="24"/>
          <w:szCs w:val="24"/>
        </w:rPr>
        <w:t>TOD</w:t>
      </w:r>
      <w:proofErr w:type="gramEnd"/>
      <w:r w:rsidR="00AB52E3" w:rsidRPr="006849EE">
        <w:rPr>
          <w:rFonts w:asciiTheme="majorHAnsi" w:hAnsiTheme="majorHAnsi" w:cs="Arial"/>
          <w:color w:val="auto"/>
          <w:sz w:val="24"/>
          <w:szCs w:val="24"/>
        </w:rPr>
        <w:t xml:space="preserve"> and </w:t>
      </w:r>
      <w:proofErr w:type="gramStart"/>
      <w:r w:rsidR="00AB52E3" w:rsidRPr="006849EE">
        <w:rPr>
          <w:rFonts w:asciiTheme="majorHAnsi" w:hAnsiTheme="majorHAnsi" w:cs="Arial"/>
          <w:color w:val="auto"/>
          <w:sz w:val="24"/>
          <w:szCs w:val="24"/>
        </w:rPr>
        <w:lastRenderedPageBreak/>
        <w:t>NON TOD</w:t>
      </w:r>
      <w:proofErr w:type="gramEnd"/>
      <w:r w:rsidRPr="006849EE">
        <w:rPr>
          <w:rFonts w:asciiTheme="majorHAnsi" w:hAnsiTheme="majorHAnsi" w:cs="Arial"/>
          <w:color w:val="auto"/>
          <w:sz w:val="24"/>
          <w:szCs w:val="24"/>
        </w:rPr>
        <w:t xml:space="preserve"> be considered by this Hon’ble Commission while determining the tariff for FY 2026–27.</w:t>
      </w:r>
    </w:p>
    <w:p w14:paraId="74ACA794" w14:textId="6DC37561" w:rsidR="00CA1875" w:rsidRPr="006849EE" w:rsidRDefault="00CA1875" w:rsidP="00B90377">
      <w:pPr>
        <w:numPr>
          <w:ilvl w:val="0"/>
          <w:numId w:val="16"/>
        </w:numPr>
        <w:spacing w:before="60" w:after="60" w:line="360" w:lineRule="auto"/>
        <w:ind w:left="2268" w:hanging="565"/>
        <w:jc w:val="both"/>
        <w:rPr>
          <w:rFonts w:asciiTheme="majorHAnsi" w:hAnsiTheme="majorHAnsi" w:cs="Arial"/>
          <w:color w:val="auto"/>
          <w:sz w:val="24"/>
          <w:szCs w:val="24"/>
          <w:u w:val="single"/>
        </w:rPr>
      </w:pPr>
      <w:r w:rsidRPr="006849EE">
        <w:rPr>
          <w:rFonts w:asciiTheme="majorHAnsi" w:hAnsiTheme="majorHAnsi" w:cs="Arial"/>
          <w:color w:val="auto"/>
          <w:sz w:val="24"/>
          <w:szCs w:val="24"/>
          <w:u w:val="single"/>
        </w:rPr>
        <w:t xml:space="preserve">Prompt Payment Rebate and Rebate for Online Payment </w:t>
      </w:r>
    </w:p>
    <w:p w14:paraId="7A9F641E" w14:textId="37C2856F" w:rsidR="00CA1875" w:rsidRPr="006849EE" w:rsidRDefault="00CA1875" w:rsidP="00527CE3">
      <w:pPr>
        <w:spacing w:before="60" w:after="60" w:line="360" w:lineRule="auto"/>
        <w:ind w:left="2268"/>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proposes the due date for making payment of energy bills or other charges as </w:t>
      </w:r>
      <w:r w:rsidR="00F57782" w:rsidRPr="006849EE">
        <w:rPr>
          <w:rFonts w:asciiTheme="majorHAnsi" w:hAnsiTheme="majorHAnsi" w:cs="Arial"/>
          <w:color w:val="auto"/>
          <w:sz w:val="24"/>
          <w:szCs w:val="24"/>
        </w:rPr>
        <w:t xml:space="preserve">for </w:t>
      </w:r>
      <w:r w:rsidR="00B47241" w:rsidRPr="006849EE">
        <w:rPr>
          <w:rFonts w:asciiTheme="majorHAnsi" w:hAnsiTheme="majorHAnsi" w:cs="Arial"/>
          <w:color w:val="auto"/>
          <w:sz w:val="24"/>
          <w:szCs w:val="24"/>
        </w:rPr>
        <w:t xml:space="preserve">High Tension </w:t>
      </w:r>
      <w:r w:rsidR="00A6108A" w:rsidRPr="006849EE">
        <w:rPr>
          <w:rFonts w:asciiTheme="majorHAnsi" w:hAnsiTheme="majorHAnsi" w:cs="Arial"/>
          <w:color w:val="auto"/>
          <w:sz w:val="24"/>
          <w:szCs w:val="24"/>
        </w:rPr>
        <w:t xml:space="preserve">(HT) and </w:t>
      </w:r>
      <w:r w:rsidR="009A6661" w:rsidRPr="006849EE">
        <w:rPr>
          <w:rFonts w:asciiTheme="majorHAnsi" w:hAnsiTheme="majorHAnsi" w:cs="Arial"/>
          <w:color w:val="auto"/>
          <w:sz w:val="24"/>
          <w:szCs w:val="24"/>
        </w:rPr>
        <w:t xml:space="preserve">Extra High Tension </w:t>
      </w:r>
      <w:r w:rsidR="00474524" w:rsidRPr="006849EE">
        <w:rPr>
          <w:rFonts w:asciiTheme="majorHAnsi" w:hAnsiTheme="majorHAnsi" w:cs="Arial"/>
          <w:color w:val="auto"/>
          <w:sz w:val="24"/>
          <w:szCs w:val="24"/>
        </w:rPr>
        <w:t xml:space="preserve">(EHT) consumers </w:t>
      </w:r>
      <w:r w:rsidR="006551C2" w:rsidRPr="006849EE">
        <w:rPr>
          <w:rFonts w:asciiTheme="majorHAnsi" w:hAnsiTheme="majorHAnsi" w:cs="Arial"/>
          <w:color w:val="auto"/>
          <w:sz w:val="24"/>
          <w:szCs w:val="24"/>
        </w:rPr>
        <w:t xml:space="preserve"> to be 15 </w:t>
      </w:r>
      <w:r w:rsidR="00D01193" w:rsidRPr="006849EE">
        <w:rPr>
          <w:rFonts w:asciiTheme="majorHAnsi" w:hAnsiTheme="majorHAnsi" w:cs="Arial"/>
          <w:color w:val="auto"/>
          <w:sz w:val="24"/>
          <w:szCs w:val="24"/>
        </w:rPr>
        <w:t xml:space="preserve">(fifteen) </w:t>
      </w:r>
      <w:r w:rsidR="006551C2" w:rsidRPr="006849EE">
        <w:rPr>
          <w:rFonts w:asciiTheme="majorHAnsi" w:hAnsiTheme="majorHAnsi" w:cs="Arial"/>
          <w:color w:val="auto"/>
          <w:sz w:val="24"/>
          <w:szCs w:val="24"/>
        </w:rPr>
        <w:t xml:space="preserve">days from </w:t>
      </w:r>
      <w:r w:rsidR="007D177B" w:rsidRPr="006849EE">
        <w:rPr>
          <w:rFonts w:asciiTheme="majorHAnsi" w:hAnsiTheme="majorHAnsi" w:cs="Arial"/>
          <w:color w:val="auto"/>
          <w:sz w:val="24"/>
          <w:szCs w:val="24"/>
        </w:rPr>
        <w:t xml:space="preserve">the date </w:t>
      </w:r>
      <w:r w:rsidR="00B40FD8" w:rsidRPr="006849EE">
        <w:rPr>
          <w:rFonts w:asciiTheme="majorHAnsi" w:hAnsiTheme="majorHAnsi" w:cs="Arial"/>
          <w:color w:val="auto"/>
          <w:sz w:val="24"/>
          <w:szCs w:val="24"/>
        </w:rPr>
        <w:t xml:space="preserve">of billing </w:t>
      </w:r>
      <w:r w:rsidR="00E84BB2" w:rsidRPr="006849EE">
        <w:rPr>
          <w:rFonts w:asciiTheme="majorHAnsi" w:hAnsiTheme="majorHAnsi" w:cs="Arial"/>
          <w:color w:val="auto"/>
          <w:sz w:val="24"/>
          <w:szCs w:val="24"/>
        </w:rPr>
        <w:t xml:space="preserve">and </w:t>
      </w:r>
      <w:r w:rsidR="00A21024" w:rsidRPr="006849EE">
        <w:rPr>
          <w:rFonts w:asciiTheme="majorHAnsi" w:hAnsiTheme="majorHAnsi" w:cs="Arial"/>
          <w:color w:val="auto"/>
          <w:sz w:val="24"/>
          <w:szCs w:val="24"/>
        </w:rPr>
        <w:t>for Low Tension (LT</w:t>
      </w:r>
      <w:r w:rsidR="00E606FE" w:rsidRPr="006849EE">
        <w:rPr>
          <w:rFonts w:asciiTheme="majorHAnsi" w:hAnsiTheme="majorHAnsi" w:cs="Arial"/>
          <w:color w:val="auto"/>
          <w:sz w:val="24"/>
          <w:szCs w:val="24"/>
        </w:rPr>
        <w:t xml:space="preserve">) consumers </w:t>
      </w:r>
      <w:r w:rsidR="00E73957" w:rsidRPr="006849EE">
        <w:rPr>
          <w:rFonts w:asciiTheme="majorHAnsi" w:hAnsiTheme="majorHAnsi" w:cs="Arial"/>
          <w:color w:val="auto"/>
          <w:sz w:val="24"/>
          <w:szCs w:val="24"/>
        </w:rPr>
        <w:t xml:space="preserve">to be </w:t>
      </w:r>
      <w:r w:rsidR="00D01193" w:rsidRPr="006849EE">
        <w:rPr>
          <w:rFonts w:asciiTheme="majorHAnsi" w:hAnsiTheme="majorHAnsi" w:cs="Arial"/>
          <w:color w:val="auto"/>
          <w:sz w:val="24"/>
          <w:szCs w:val="24"/>
        </w:rPr>
        <w:t>21</w:t>
      </w:r>
      <w:r w:rsidR="004F3F15" w:rsidRPr="006849EE">
        <w:rPr>
          <w:rFonts w:asciiTheme="majorHAnsi" w:hAnsiTheme="majorHAnsi" w:cs="Arial"/>
          <w:color w:val="auto"/>
          <w:sz w:val="24"/>
          <w:szCs w:val="24"/>
        </w:rPr>
        <w:t>( twenty one )</w:t>
      </w:r>
      <w:r w:rsidR="00D01193" w:rsidRPr="006849EE">
        <w:rPr>
          <w:rFonts w:asciiTheme="majorHAnsi" w:hAnsiTheme="majorHAnsi" w:cs="Arial"/>
          <w:color w:val="auto"/>
          <w:sz w:val="24"/>
          <w:szCs w:val="24"/>
        </w:rPr>
        <w:t xml:space="preserve"> days</w:t>
      </w:r>
      <w:r w:rsidR="004722AC" w:rsidRPr="006849EE">
        <w:rPr>
          <w:rFonts w:asciiTheme="majorHAnsi" w:hAnsiTheme="majorHAnsi" w:cs="Arial"/>
          <w:color w:val="auto"/>
          <w:sz w:val="24"/>
          <w:szCs w:val="24"/>
        </w:rPr>
        <w:t xml:space="preserve"> from the </w:t>
      </w:r>
      <w:r w:rsidR="00DF4219" w:rsidRPr="006849EE">
        <w:rPr>
          <w:rFonts w:asciiTheme="majorHAnsi" w:hAnsiTheme="majorHAnsi" w:cs="Arial"/>
          <w:color w:val="auto"/>
          <w:sz w:val="24"/>
          <w:szCs w:val="24"/>
        </w:rPr>
        <w:t>date of billing which is in line with the</w:t>
      </w:r>
      <w:r w:rsidR="00713EE0" w:rsidRPr="006849EE">
        <w:rPr>
          <w:rFonts w:asciiTheme="majorHAnsi" w:hAnsiTheme="majorHAnsi" w:cs="Arial"/>
          <w:color w:val="auto"/>
          <w:sz w:val="24"/>
          <w:szCs w:val="24"/>
        </w:rPr>
        <w:t xml:space="preserve"> </w:t>
      </w:r>
      <w:proofErr w:type="spellStart"/>
      <w:r w:rsidR="00713EE0" w:rsidRPr="006849EE">
        <w:rPr>
          <w:rFonts w:asciiTheme="majorHAnsi" w:hAnsiTheme="majorHAnsi" w:cs="Arial"/>
          <w:color w:val="auto"/>
          <w:sz w:val="24"/>
          <w:szCs w:val="24"/>
        </w:rPr>
        <w:t>the</w:t>
      </w:r>
      <w:proofErr w:type="spellEnd"/>
      <w:r w:rsidR="00713EE0" w:rsidRPr="006849EE">
        <w:rPr>
          <w:rFonts w:asciiTheme="majorHAnsi" w:hAnsiTheme="majorHAnsi" w:cs="Arial"/>
          <w:color w:val="auto"/>
          <w:sz w:val="24"/>
          <w:szCs w:val="24"/>
        </w:rPr>
        <w:t xml:space="preserve"> JSERC (Terms and Conditions for Determination of Distribution Tariff) Regulations, 2025</w:t>
      </w:r>
      <w:r w:rsidR="00922F8F" w:rsidRPr="006849EE">
        <w:rPr>
          <w:rFonts w:asciiTheme="majorHAnsi" w:hAnsiTheme="majorHAnsi" w:cs="Arial"/>
          <w:color w:val="auto"/>
          <w:sz w:val="24"/>
          <w:szCs w:val="24"/>
        </w:rPr>
        <w:t xml:space="preserve"> .</w:t>
      </w:r>
    </w:p>
    <w:p w14:paraId="4FD0C11E" w14:textId="1492A9BF" w:rsidR="00CA1875" w:rsidRPr="006849EE" w:rsidRDefault="00CA1875" w:rsidP="00CA1875">
      <w:pPr>
        <w:spacing w:before="60" w:after="60" w:line="360" w:lineRule="auto"/>
        <w:ind w:left="2268"/>
        <w:jc w:val="both"/>
        <w:rPr>
          <w:rFonts w:asciiTheme="majorHAnsi" w:hAnsiTheme="majorHAnsi" w:cs="Arial"/>
          <w:color w:val="auto"/>
          <w:sz w:val="24"/>
          <w:szCs w:val="24"/>
        </w:rPr>
      </w:pPr>
      <w:r w:rsidRPr="006849EE">
        <w:rPr>
          <w:rFonts w:asciiTheme="majorHAnsi" w:hAnsiTheme="majorHAnsi" w:cs="Arial"/>
          <w:color w:val="auto"/>
          <w:sz w:val="24"/>
          <w:szCs w:val="24"/>
        </w:rPr>
        <w:t>DVC also proposes the Prompt Payment Rebate for payment of bills by the Consumers in accordance with Clauses 10.</w:t>
      </w:r>
      <w:r w:rsidR="00AB06B5" w:rsidRPr="006849EE">
        <w:rPr>
          <w:rFonts w:asciiTheme="majorHAnsi" w:hAnsiTheme="majorHAnsi" w:cs="Arial"/>
          <w:color w:val="auto"/>
          <w:sz w:val="24"/>
          <w:szCs w:val="24"/>
        </w:rPr>
        <w:t>80</w:t>
      </w:r>
      <w:r w:rsidRPr="006849EE">
        <w:rPr>
          <w:rFonts w:asciiTheme="majorHAnsi" w:hAnsiTheme="majorHAnsi" w:cs="Arial"/>
          <w:color w:val="auto"/>
          <w:sz w:val="24"/>
          <w:szCs w:val="24"/>
        </w:rPr>
        <w:t xml:space="preserve"> of </w:t>
      </w:r>
      <w:r w:rsidR="003C11FB" w:rsidRPr="006849EE">
        <w:rPr>
          <w:rFonts w:asciiTheme="majorHAnsi" w:hAnsiTheme="majorHAnsi" w:cs="Arial"/>
          <w:color w:val="auto"/>
          <w:sz w:val="24"/>
          <w:szCs w:val="24"/>
        </w:rPr>
        <w:t xml:space="preserve">the </w:t>
      </w:r>
      <w:r w:rsidRPr="006849EE">
        <w:rPr>
          <w:rFonts w:asciiTheme="majorHAnsi" w:hAnsiTheme="majorHAnsi" w:cs="Arial"/>
          <w:color w:val="auto"/>
          <w:sz w:val="24"/>
          <w:szCs w:val="24"/>
        </w:rPr>
        <w:t>JSERC (Terms and Conditions for Determination of Distribution Tariff) Regulations, 202</w:t>
      </w:r>
      <w:r w:rsidR="00AB06B5" w:rsidRPr="006849EE">
        <w:rPr>
          <w:rFonts w:asciiTheme="majorHAnsi" w:hAnsiTheme="majorHAnsi" w:cs="Arial"/>
          <w:color w:val="auto"/>
          <w:sz w:val="24"/>
          <w:szCs w:val="24"/>
        </w:rPr>
        <w:t>5</w:t>
      </w:r>
      <w:r w:rsidRPr="006849EE">
        <w:rPr>
          <w:rFonts w:asciiTheme="majorHAnsi" w:hAnsiTheme="majorHAnsi" w:cs="Arial"/>
          <w:color w:val="auto"/>
          <w:sz w:val="24"/>
          <w:szCs w:val="24"/>
        </w:rPr>
        <w:t xml:space="preserve">, as amended from time to time. </w:t>
      </w:r>
    </w:p>
    <w:p w14:paraId="168D7D3C" w14:textId="47A44973" w:rsidR="00CA1875" w:rsidRPr="006849EE" w:rsidRDefault="00CA1875" w:rsidP="00CA1875">
      <w:pPr>
        <w:spacing w:before="60" w:after="60"/>
        <w:ind w:left="2268"/>
        <w:jc w:val="both"/>
        <w:rPr>
          <w:rFonts w:asciiTheme="majorHAnsi" w:hAnsiTheme="majorHAnsi" w:cs="Arial"/>
          <w:b/>
          <w:bCs/>
          <w:i/>
          <w:iCs/>
          <w:color w:val="auto"/>
          <w:sz w:val="24"/>
          <w:szCs w:val="24"/>
        </w:rPr>
      </w:pPr>
      <w:r w:rsidRPr="006849EE">
        <w:rPr>
          <w:rFonts w:asciiTheme="majorHAnsi" w:hAnsiTheme="majorHAnsi" w:cs="Arial"/>
          <w:b/>
          <w:bCs/>
          <w:i/>
          <w:iCs/>
          <w:color w:val="auto"/>
          <w:sz w:val="24"/>
          <w:szCs w:val="24"/>
        </w:rPr>
        <w:t>Clause 10.</w:t>
      </w:r>
      <w:r w:rsidR="00AB06B5" w:rsidRPr="006849EE">
        <w:rPr>
          <w:rFonts w:asciiTheme="majorHAnsi" w:hAnsiTheme="majorHAnsi" w:cs="Arial"/>
          <w:b/>
          <w:bCs/>
          <w:i/>
          <w:iCs/>
          <w:color w:val="auto"/>
          <w:sz w:val="24"/>
          <w:szCs w:val="24"/>
        </w:rPr>
        <w:t>80</w:t>
      </w:r>
      <w:r w:rsidRPr="006849EE">
        <w:rPr>
          <w:rFonts w:asciiTheme="majorHAnsi" w:hAnsiTheme="majorHAnsi" w:cs="Arial"/>
          <w:b/>
          <w:bCs/>
          <w:i/>
          <w:iCs/>
          <w:color w:val="auto"/>
          <w:sz w:val="24"/>
          <w:szCs w:val="24"/>
        </w:rPr>
        <w:t>: - “For payment of bills by the Consumers (Capacity Charge and Energy Charges) within 5 days of presentation of bills by the Distribution Licensee, a rebate of 2.00% shall be allowed.”</w:t>
      </w:r>
    </w:p>
    <w:p w14:paraId="4D0A1866" w14:textId="77777777" w:rsidR="00CA1875" w:rsidRPr="006849EE" w:rsidRDefault="00CA1875" w:rsidP="00CA1875">
      <w:pPr>
        <w:spacing w:before="60" w:after="60"/>
        <w:ind w:left="2268"/>
        <w:jc w:val="both"/>
        <w:rPr>
          <w:rFonts w:asciiTheme="majorHAnsi" w:hAnsiTheme="majorHAnsi" w:cs="Arial"/>
          <w:b/>
          <w:bCs/>
          <w:i/>
          <w:iCs/>
          <w:color w:val="FF0000"/>
          <w:sz w:val="24"/>
          <w:szCs w:val="24"/>
        </w:rPr>
      </w:pPr>
    </w:p>
    <w:p w14:paraId="33897EC1" w14:textId="63FC354C" w:rsidR="000F054A" w:rsidRPr="006849EE" w:rsidRDefault="00922F8F" w:rsidP="007C7C22">
      <w:pPr>
        <w:spacing w:before="180" w:after="60" w:line="360" w:lineRule="auto"/>
        <w:ind w:left="2268"/>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 </w:t>
      </w:r>
      <w:r w:rsidR="007C7C22" w:rsidRPr="006849EE">
        <w:rPr>
          <w:rFonts w:asciiTheme="majorHAnsi" w:hAnsiTheme="majorHAnsi" w:cs="Arial"/>
          <w:color w:val="auto"/>
          <w:sz w:val="24"/>
          <w:szCs w:val="24"/>
        </w:rPr>
        <w:t>No rebate is proposed to be allowed for payment after due date irrespective of the mode of payment</w:t>
      </w:r>
      <w:r w:rsidR="000F054A" w:rsidRPr="006849EE">
        <w:rPr>
          <w:rFonts w:asciiTheme="majorHAnsi" w:hAnsiTheme="majorHAnsi" w:cs="Arial"/>
          <w:color w:val="auto"/>
          <w:sz w:val="24"/>
          <w:szCs w:val="24"/>
        </w:rPr>
        <w:t>.</w:t>
      </w:r>
    </w:p>
    <w:p w14:paraId="3EC61F43" w14:textId="415CAE38" w:rsidR="00CA1875" w:rsidRPr="006849EE" w:rsidRDefault="00CA1875" w:rsidP="00B90377">
      <w:pPr>
        <w:numPr>
          <w:ilvl w:val="0"/>
          <w:numId w:val="16"/>
        </w:numPr>
        <w:spacing w:before="180" w:after="60" w:line="360" w:lineRule="auto"/>
        <w:ind w:left="2268"/>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w:t>
      </w:r>
      <w:r w:rsidR="00C0359D" w:rsidRPr="006849EE">
        <w:rPr>
          <w:rFonts w:asciiTheme="majorHAnsi" w:hAnsiTheme="majorHAnsi" w:cs="Arial"/>
          <w:color w:val="auto"/>
          <w:sz w:val="24"/>
          <w:szCs w:val="24"/>
        </w:rPr>
        <w:t>proposes</w:t>
      </w:r>
      <w:r w:rsidRPr="006849EE">
        <w:rPr>
          <w:rFonts w:asciiTheme="majorHAnsi" w:hAnsiTheme="majorHAnsi" w:cs="Arial"/>
          <w:color w:val="auto"/>
          <w:sz w:val="24"/>
          <w:szCs w:val="24"/>
        </w:rPr>
        <w:t xml:space="preserve"> that the Delayed Payment Surcharge shall be applicable as specified in Clauses 10.75</w:t>
      </w:r>
      <w:r w:rsidR="006B16C2" w:rsidRPr="006849EE">
        <w:rPr>
          <w:rFonts w:asciiTheme="majorHAnsi" w:hAnsiTheme="majorHAnsi" w:cs="Arial"/>
          <w:color w:val="auto"/>
          <w:sz w:val="24"/>
          <w:szCs w:val="24"/>
        </w:rPr>
        <w:t xml:space="preserve"> and </w:t>
      </w:r>
      <w:proofErr w:type="gramStart"/>
      <w:r w:rsidR="006B16C2" w:rsidRPr="006849EE">
        <w:rPr>
          <w:rFonts w:asciiTheme="majorHAnsi" w:hAnsiTheme="majorHAnsi" w:cs="Arial"/>
          <w:color w:val="auto"/>
          <w:sz w:val="24"/>
          <w:szCs w:val="24"/>
        </w:rPr>
        <w:t xml:space="preserve">10.76 </w:t>
      </w:r>
      <w:r w:rsidRPr="006849EE">
        <w:rPr>
          <w:rFonts w:asciiTheme="majorHAnsi" w:hAnsiTheme="majorHAnsi" w:cs="Arial"/>
          <w:color w:val="auto"/>
          <w:sz w:val="24"/>
          <w:szCs w:val="24"/>
        </w:rPr>
        <w:t xml:space="preserve"> of</w:t>
      </w:r>
      <w:proofErr w:type="gramEnd"/>
      <w:r w:rsidRPr="006849EE">
        <w:rPr>
          <w:rFonts w:asciiTheme="majorHAnsi" w:hAnsiTheme="majorHAnsi" w:cs="Arial"/>
          <w:color w:val="auto"/>
          <w:sz w:val="24"/>
          <w:szCs w:val="24"/>
        </w:rPr>
        <w:t xml:space="preserve"> the JSERC (Terms and Conditions for Determination of Distribution Tariff) Regulations, 202</w:t>
      </w:r>
      <w:r w:rsidR="006F7D61" w:rsidRPr="006849EE">
        <w:rPr>
          <w:rFonts w:asciiTheme="majorHAnsi" w:hAnsiTheme="majorHAnsi" w:cs="Arial"/>
          <w:color w:val="auto"/>
          <w:sz w:val="24"/>
          <w:szCs w:val="24"/>
        </w:rPr>
        <w:t>5</w:t>
      </w:r>
      <w:r w:rsidRPr="006849EE">
        <w:rPr>
          <w:rFonts w:asciiTheme="majorHAnsi" w:hAnsiTheme="majorHAnsi" w:cs="Arial"/>
          <w:color w:val="auto"/>
          <w:sz w:val="24"/>
          <w:szCs w:val="24"/>
        </w:rPr>
        <w:t xml:space="preserve">, as amended from time to time. </w:t>
      </w:r>
    </w:p>
    <w:p w14:paraId="4E15B314" w14:textId="77777777" w:rsidR="00CD25D6" w:rsidRPr="006849EE" w:rsidRDefault="00CD25D6" w:rsidP="00CD25D6">
      <w:pPr>
        <w:pStyle w:val="ListParagraph"/>
        <w:rPr>
          <w:rFonts w:asciiTheme="majorHAnsi" w:hAnsiTheme="majorHAnsi" w:cs="Arial"/>
          <w:color w:val="auto"/>
          <w:sz w:val="24"/>
          <w:szCs w:val="24"/>
        </w:rPr>
      </w:pPr>
    </w:p>
    <w:p w14:paraId="2613F05A" w14:textId="77777777" w:rsidR="001A3B48" w:rsidRPr="006849EE" w:rsidRDefault="00CD25D6" w:rsidP="00637071">
      <w:pPr>
        <w:spacing w:before="180" w:after="60" w:line="276" w:lineRule="auto"/>
        <w:ind w:left="2880"/>
        <w:jc w:val="both"/>
        <w:rPr>
          <w:rFonts w:asciiTheme="majorHAnsi" w:hAnsiTheme="majorHAnsi" w:cs="Arial"/>
          <w:i/>
          <w:iCs/>
          <w:color w:val="auto"/>
          <w:sz w:val="24"/>
          <w:szCs w:val="24"/>
        </w:rPr>
      </w:pPr>
      <w:r w:rsidRPr="006849EE">
        <w:rPr>
          <w:rFonts w:asciiTheme="majorHAnsi" w:hAnsiTheme="majorHAnsi" w:cs="Arial"/>
          <w:i/>
          <w:iCs/>
          <w:color w:val="auto"/>
          <w:sz w:val="24"/>
          <w:szCs w:val="24"/>
        </w:rPr>
        <w:t xml:space="preserve">“10.75 In the event of delayed payment or non-payment of any bill raised by the Distribution Licensee towards the retail supply of electricity, the consumer shall be liable to pay Late Payment Surcharge (LPS) on the outstanding billed amount, including applicable taxes, </w:t>
      </w:r>
      <w:proofErr w:type="spellStart"/>
      <w:r w:rsidRPr="006849EE">
        <w:rPr>
          <w:rFonts w:asciiTheme="majorHAnsi" w:hAnsiTheme="majorHAnsi" w:cs="Arial"/>
          <w:i/>
          <w:iCs/>
          <w:color w:val="auto"/>
          <w:sz w:val="24"/>
          <w:szCs w:val="24"/>
        </w:rPr>
        <w:t>cess</w:t>
      </w:r>
      <w:proofErr w:type="spellEnd"/>
      <w:r w:rsidRPr="006849EE">
        <w:rPr>
          <w:rFonts w:asciiTheme="majorHAnsi" w:hAnsiTheme="majorHAnsi" w:cs="Arial"/>
          <w:i/>
          <w:iCs/>
          <w:color w:val="auto"/>
          <w:sz w:val="24"/>
          <w:szCs w:val="24"/>
        </w:rPr>
        <w:t xml:space="preserve">, duties, and statutory levies, beyond the following due dates: </w:t>
      </w:r>
    </w:p>
    <w:p w14:paraId="0B8348B4" w14:textId="4688D95D" w:rsidR="001A3B48" w:rsidRPr="006849EE" w:rsidRDefault="00CD25D6" w:rsidP="00637071">
      <w:pPr>
        <w:pStyle w:val="ListParagraph"/>
        <w:numPr>
          <w:ilvl w:val="1"/>
          <w:numId w:val="9"/>
        </w:numPr>
        <w:spacing w:before="180" w:after="60" w:line="276" w:lineRule="auto"/>
        <w:ind w:left="4212"/>
        <w:jc w:val="both"/>
        <w:rPr>
          <w:rFonts w:asciiTheme="majorHAnsi" w:hAnsiTheme="majorHAnsi" w:cs="Arial"/>
          <w:i/>
          <w:iCs/>
          <w:color w:val="auto"/>
          <w:sz w:val="24"/>
          <w:szCs w:val="24"/>
        </w:rPr>
      </w:pPr>
      <w:r w:rsidRPr="006849EE">
        <w:rPr>
          <w:rFonts w:asciiTheme="majorHAnsi" w:hAnsiTheme="majorHAnsi" w:cs="Arial"/>
          <w:i/>
          <w:iCs/>
          <w:color w:val="auto"/>
          <w:sz w:val="24"/>
          <w:szCs w:val="24"/>
        </w:rPr>
        <w:t xml:space="preserve">High Tension (HT) and Extra High Tension (EHT) consumers – 15 (fifteen) days from the date of billing. </w:t>
      </w:r>
    </w:p>
    <w:p w14:paraId="08C71909" w14:textId="350C1777" w:rsidR="001A3B48" w:rsidRPr="006849EE" w:rsidRDefault="00CD25D6" w:rsidP="00637071">
      <w:pPr>
        <w:pStyle w:val="ListParagraph"/>
        <w:numPr>
          <w:ilvl w:val="1"/>
          <w:numId w:val="9"/>
        </w:numPr>
        <w:spacing w:before="180" w:after="60" w:line="276" w:lineRule="auto"/>
        <w:ind w:left="4212"/>
        <w:jc w:val="both"/>
        <w:rPr>
          <w:rFonts w:asciiTheme="majorHAnsi" w:hAnsiTheme="majorHAnsi" w:cs="Arial"/>
          <w:i/>
          <w:iCs/>
          <w:color w:val="auto"/>
          <w:sz w:val="24"/>
          <w:szCs w:val="24"/>
        </w:rPr>
      </w:pPr>
      <w:r w:rsidRPr="006849EE">
        <w:rPr>
          <w:rFonts w:asciiTheme="majorHAnsi" w:hAnsiTheme="majorHAnsi" w:cs="Arial"/>
          <w:i/>
          <w:iCs/>
          <w:color w:val="auto"/>
          <w:sz w:val="24"/>
          <w:szCs w:val="24"/>
        </w:rPr>
        <w:lastRenderedPageBreak/>
        <w:t xml:space="preserve">Low Tension (LT) consumers – 21 (twenty-one) days from the date of billing. </w:t>
      </w:r>
    </w:p>
    <w:p w14:paraId="3B7DB631" w14:textId="77777777" w:rsidR="001A3B48" w:rsidRPr="006849EE" w:rsidRDefault="00CD25D6" w:rsidP="00637071">
      <w:pPr>
        <w:spacing w:before="180" w:after="60" w:line="276" w:lineRule="auto"/>
        <w:ind w:left="2880"/>
        <w:jc w:val="both"/>
        <w:rPr>
          <w:rFonts w:asciiTheme="majorHAnsi" w:hAnsiTheme="majorHAnsi" w:cs="Arial"/>
          <w:i/>
          <w:iCs/>
          <w:color w:val="auto"/>
          <w:sz w:val="24"/>
          <w:szCs w:val="24"/>
        </w:rPr>
      </w:pPr>
      <w:r w:rsidRPr="006849EE">
        <w:rPr>
          <w:rFonts w:asciiTheme="majorHAnsi" w:hAnsiTheme="majorHAnsi" w:cs="Arial"/>
          <w:i/>
          <w:iCs/>
          <w:color w:val="auto"/>
          <w:sz w:val="24"/>
          <w:szCs w:val="24"/>
        </w:rPr>
        <w:t xml:space="preserve">10.76 The rate of Late Payment Surcharge shall be: </w:t>
      </w:r>
    </w:p>
    <w:p w14:paraId="43605BFA" w14:textId="77777777" w:rsidR="00A3372F" w:rsidRPr="006849EE" w:rsidRDefault="00CD25D6" w:rsidP="00637071">
      <w:pPr>
        <w:spacing w:before="180" w:after="60" w:line="276" w:lineRule="auto"/>
        <w:ind w:left="2880"/>
        <w:jc w:val="both"/>
        <w:rPr>
          <w:rFonts w:asciiTheme="majorHAnsi" w:hAnsiTheme="majorHAnsi" w:cs="Arial"/>
          <w:i/>
          <w:iCs/>
          <w:color w:val="auto"/>
          <w:sz w:val="24"/>
          <w:szCs w:val="24"/>
        </w:rPr>
      </w:pPr>
      <w:proofErr w:type="spellStart"/>
      <w:r w:rsidRPr="006849EE">
        <w:rPr>
          <w:rFonts w:asciiTheme="majorHAnsi" w:hAnsiTheme="majorHAnsi" w:cs="Arial"/>
          <w:i/>
          <w:iCs/>
          <w:color w:val="auto"/>
          <w:sz w:val="24"/>
          <w:szCs w:val="24"/>
        </w:rPr>
        <w:t>i</w:t>
      </w:r>
      <w:proofErr w:type="spellEnd"/>
      <w:r w:rsidRPr="006849EE">
        <w:rPr>
          <w:rFonts w:asciiTheme="majorHAnsi" w:hAnsiTheme="majorHAnsi" w:cs="Arial"/>
          <w:i/>
          <w:iCs/>
          <w:color w:val="auto"/>
          <w:sz w:val="24"/>
          <w:szCs w:val="24"/>
        </w:rPr>
        <w:t>. For Delay beyond the respective due date till sixty days (60 days) – LPS shall be levied at twelve percent (12%) per annum on the outstanding amount, calculated on a simple interest basis</w:t>
      </w:r>
    </w:p>
    <w:p w14:paraId="03155C46" w14:textId="77777777" w:rsidR="00637071" w:rsidRPr="006849EE" w:rsidRDefault="00CD25D6" w:rsidP="00637071">
      <w:pPr>
        <w:spacing w:before="180" w:after="60" w:line="276" w:lineRule="auto"/>
        <w:ind w:left="2880"/>
        <w:jc w:val="both"/>
        <w:rPr>
          <w:rFonts w:asciiTheme="majorHAnsi" w:hAnsiTheme="majorHAnsi" w:cs="Arial"/>
          <w:i/>
          <w:iCs/>
          <w:color w:val="auto"/>
          <w:sz w:val="24"/>
          <w:szCs w:val="24"/>
        </w:rPr>
      </w:pPr>
      <w:r w:rsidRPr="006849EE">
        <w:rPr>
          <w:rFonts w:asciiTheme="majorHAnsi" w:hAnsiTheme="majorHAnsi" w:cs="Arial"/>
          <w:i/>
          <w:iCs/>
          <w:color w:val="auto"/>
          <w:sz w:val="24"/>
          <w:szCs w:val="24"/>
        </w:rPr>
        <w:t>ii. For delay beyond sixty days (60) days and up to ninety (90) days – interest on delayed payment shall be levied at fourteen percent (14%) per annum over and above the escalated cost as per Clause 10.76(</w:t>
      </w:r>
      <w:proofErr w:type="spellStart"/>
      <w:r w:rsidRPr="006849EE">
        <w:rPr>
          <w:rFonts w:asciiTheme="majorHAnsi" w:hAnsiTheme="majorHAnsi" w:cs="Arial"/>
          <w:i/>
          <w:iCs/>
          <w:color w:val="auto"/>
          <w:sz w:val="24"/>
          <w:szCs w:val="24"/>
        </w:rPr>
        <w:t>i</w:t>
      </w:r>
      <w:proofErr w:type="spellEnd"/>
      <w:r w:rsidRPr="006849EE">
        <w:rPr>
          <w:rFonts w:asciiTheme="majorHAnsi" w:hAnsiTheme="majorHAnsi" w:cs="Arial"/>
          <w:i/>
          <w:iCs/>
          <w:color w:val="auto"/>
          <w:sz w:val="24"/>
          <w:szCs w:val="24"/>
        </w:rPr>
        <w:t xml:space="preserve">) for days beyond 60 days, on a simple interest basis, on the cumulative outstanding, including accrued LPS and statutory charges. </w:t>
      </w:r>
    </w:p>
    <w:p w14:paraId="04C67F7E" w14:textId="62990A4A" w:rsidR="00CD25D6" w:rsidRPr="006849EE" w:rsidRDefault="00CD25D6" w:rsidP="00637071">
      <w:pPr>
        <w:spacing w:before="180" w:after="60" w:line="276" w:lineRule="auto"/>
        <w:ind w:left="2880"/>
        <w:jc w:val="both"/>
        <w:rPr>
          <w:rFonts w:asciiTheme="majorHAnsi" w:hAnsiTheme="majorHAnsi" w:cs="Arial"/>
          <w:i/>
          <w:iCs/>
          <w:color w:val="auto"/>
          <w:sz w:val="24"/>
          <w:szCs w:val="24"/>
        </w:rPr>
      </w:pPr>
      <w:r w:rsidRPr="006849EE">
        <w:rPr>
          <w:rFonts w:asciiTheme="majorHAnsi" w:hAnsiTheme="majorHAnsi" w:cs="Arial"/>
          <w:i/>
          <w:iCs/>
          <w:color w:val="auto"/>
          <w:sz w:val="24"/>
          <w:szCs w:val="24"/>
        </w:rPr>
        <w:t>iii. For delay exceeding ninety (90) days – interest shall be levied at sixteen percent (16%) per annum over and above the escalated cost as per Clause 10.76(ii) for days beyond ninety (90) days, on a simple interest basis, on the total outstanding, including accrued LPS and statutory charges.</w:t>
      </w:r>
      <w:r w:rsidR="00637071" w:rsidRPr="006849EE">
        <w:rPr>
          <w:rFonts w:asciiTheme="majorHAnsi" w:hAnsiTheme="majorHAnsi" w:cs="Arial"/>
          <w:i/>
          <w:iCs/>
          <w:color w:val="auto"/>
          <w:sz w:val="24"/>
          <w:szCs w:val="24"/>
        </w:rPr>
        <w:t>”</w:t>
      </w:r>
    </w:p>
    <w:p w14:paraId="060194A8" w14:textId="77777777" w:rsidR="00CA1875" w:rsidRPr="006849EE" w:rsidRDefault="00CA1875" w:rsidP="00CA1875">
      <w:pPr>
        <w:ind w:left="2268" w:right="483"/>
        <w:contextualSpacing/>
        <w:jc w:val="both"/>
        <w:rPr>
          <w:rFonts w:asciiTheme="majorHAnsi" w:hAnsiTheme="majorHAnsi" w:cs="Arial"/>
          <w:b/>
          <w:bCs/>
          <w:i/>
          <w:iCs/>
          <w:color w:val="FF0000"/>
          <w:sz w:val="24"/>
          <w:szCs w:val="24"/>
        </w:rPr>
      </w:pPr>
    </w:p>
    <w:p w14:paraId="05B0A449" w14:textId="05D47053" w:rsidR="00CA1875" w:rsidRPr="006849EE" w:rsidRDefault="00CA1875" w:rsidP="00B90377">
      <w:pPr>
        <w:numPr>
          <w:ilvl w:val="0"/>
          <w:numId w:val="16"/>
        </w:numPr>
        <w:spacing w:before="60" w:after="60" w:line="360" w:lineRule="auto"/>
        <w:ind w:left="2268"/>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DVC has proposed tariff rate (Energy Charges) in </w:t>
      </w:r>
      <w:proofErr w:type="gramStart"/>
      <w:r w:rsidRPr="006849EE">
        <w:rPr>
          <w:rFonts w:asciiTheme="majorHAnsi" w:hAnsiTheme="majorHAnsi" w:cs="Arial"/>
          <w:color w:val="auto"/>
          <w:sz w:val="24"/>
          <w:szCs w:val="24"/>
        </w:rPr>
        <w:t>Rs./</w:t>
      </w:r>
      <w:proofErr w:type="spellStart"/>
      <w:proofErr w:type="gramEnd"/>
      <w:r w:rsidRPr="006849EE">
        <w:rPr>
          <w:rFonts w:asciiTheme="majorHAnsi" w:hAnsiTheme="majorHAnsi" w:cs="Arial"/>
          <w:color w:val="auto"/>
          <w:sz w:val="24"/>
          <w:szCs w:val="24"/>
        </w:rPr>
        <w:t>KVAh</w:t>
      </w:r>
      <w:proofErr w:type="spellEnd"/>
      <w:r w:rsidRPr="006849EE">
        <w:rPr>
          <w:rFonts w:asciiTheme="majorHAnsi" w:hAnsiTheme="majorHAnsi" w:cs="Arial"/>
          <w:color w:val="auto"/>
          <w:sz w:val="24"/>
          <w:szCs w:val="24"/>
        </w:rPr>
        <w:t xml:space="preserve"> for respective category of consumers in line with the Tariff Order passed by this Hon’ble Commission dated. </w:t>
      </w:r>
      <w:r w:rsidR="00AF58B7" w:rsidRPr="006849EE">
        <w:rPr>
          <w:rFonts w:asciiTheme="majorHAnsi" w:hAnsiTheme="majorHAnsi" w:cs="Arial"/>
          <w:color w:val="auto"/>
          <w:sz w:val="24"/>
          <w:szCs w:val="24"/>
        </w:rPr>
        <w:t>27.05.2025</w:t>
      </w:r>
      <w:r w:rsidRPr="006849EE">
        <w:rPr>
          <w:rFonts w:asciiTheme="majorHAnsi" w:hAnsiTheme="majorHAnsi" w:cs="Arial"/>
          <w:color w:val="auto"/>
          <w:sz w:val="24"/>
          <w:szCs w:val="24"/>
        </w:rPr>
        <w:t>.</w:t>
      </w:r>
    </w:p>
    <w:p w14:paraId="649B4149" w14:textId="77777777" w:rsidR="00CA1875" w:rsidRPr="006849EE" w:rsidRDefault="00CA1875" w:rsidP="00CA1875">
      <w:pPr>
        <w:ind w:left="2268"/>
        <w:contextualSpacing/>
        <w:rPr>
          <w:rFonts w:asciiTheme="majorHAnsi" w:hAnsiTheme="majorHAnsi" w:cs="Arial"/>
          <w:color w:val="FF0000"/>
          <w:sz w:val="24"/>
          <w:szCs w:val="24"/>
        </w:rPr>
      </w:pPr>
    </w:p>
    <w:p w14:paraId="33247346" w14:textId="319F3C15" w:rsidR="00CA1875" w:rsidRPr="006849EE" w:rsidRDefault="00CA1875" w:rsidP="00B90377">
      <w:pPr>
        <w:numPr>
          <w:ilvl w:val="0"/>
          <w:numId w:val="16"/>
        </w:numPr>
        <w:spacing w:before="60" w:after="60" w:line="360" w:lineRule="auto"/>
        <w:ind w:left="2268"/>
        <w:jc w:val="both"/>
        <w:rPr>
          <w:rFonts w:asciiTheme="majorHAnsi" w:hAnsiTheme="majorHAnsi" w:cs="Arial"/>
          <w:color w:val="auto"/>
          <w:sz w:val="24"/>
          <w:szCs w:val="24"/>
        </w:rPr>
      </w:pPr>
      <w:r w:rsidRPr="006849EE">
        <w:rPr>
          <w:rFonts w:asciiTheme="majorHAnsi" w:hAnsiTheme="majorHAnsi" w:cs="Arial"/>
          <w:color w:val="auto"/>
          <w:sz w:val="24"/>
          <w:szCs w:val="24"/>
        </w:rPr>
        <w:t>DVC also proposes single part tariff equal to the Average Cost of Supply (</w:t>
      </w:r>
      <w:proofErr w:type="spellStart"/>
      <w:r w:rsidRPr="006849EE">
        <w:rPr>
          <w:rFonts w:asciiTheme="majorHAnsi" w:hAnsiTheme="majorHAnsi" w:cs="Arial"/>
          <w:color w:val="auto"/>
          <w:sz w:val="24"/>
          <w:szCs w:val="24"/>
        </w:rPr>
        <w:t>ACoS</w:t>
      </w:r>
      <w:proofErr w:type="spellEnd"/>
      <w:r w:rsidRPr="006849EE">
        <w:rPr>
          <w:rFonts w:asciiTheme="majorHAnsi" w:hAnsiTheme="majorHAnsi" w:cs="Arial"/>
          <w:color w:val="auto"/>
          <w:sz w:val="24"/>
          <w:szCs w:val="24"/>
        </w:rPr>
        <w:t xml:space="preserve">) for as Tariff for Charging Electric Vehicle in line with methodology as approved by this Commission in order dated </w:t>
      </w:r>
      <w:r w:rsidR="00365D88" w:rsidRPr="006849EE">
        <w:rPr>
          <w:rFonts w:asciiTheme="majorHAnsi" w:hAnsiTheme="majorHAnsi" w:cs="Arial"/>
          <w:color w:val="auto"/>
          <w:sz w:val="24"/>
          <w:szCs w:val="24"/>
        </w:rPr>
        <w:t xml:space="preserve">27.05.2025 </w:t>
      </w:r>
      <w:r w:rsidRPr="006849EE">
        <w:rPr>
          <w:rFonts w:asciiTheme="majorHAnsi" w:hAnsiTheme="majorHAnsi" w:cs="Arial"/>
          <w:color w:val="auto"/>
          <w:sz w:val="24"/>
          <w:szCs w:val="24"/>
        </w:rPr>
        <w:t xml:space="preserve">for the DVC.  </w:t>
      </w:r>
    </w:p>
    <w:p w14:paraId="18671189" w14:textId="2070AC27"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It is further </w:t>
      </w:r>
      <w:r w:rsidRPr="006849EE">
        <w:rPr>
          <w:rFonts w:asciiTheme="majorHAnsi" w:hAnsiTheme="majorHAnsi" w:cs="Arial"/>
          <w:color w:val="auto"/>
          <w:sz w:val="24"/>
          <w:szCs w:val="24"/>
        </w:rPr>
        <w:t>submitted</w:t>
      </w:r>
      <w:r w:rsidRPr="006849EE">
        <w:rPr>
          <w:rFonts w:asciiTheme="majorHAnsi" w:eastAsiaTheme="majorEastAsia" w:hAnsiTheme="majorHAnsi" w:cs="Arial"/>
          <w:color w:val="auto"/>
          <w:sz w:val="24"/>
          <w:szCs w:val="24"/>
        </w:rPr>
        <w:t xml:space="preserve"> that</w:t>
      </w:r>
      <w:r w:rsidR="000B55DC" w:rsidRPr="006849EE">
        <w:rPr>
          <w:rFonts w:asciiTheme="majorHAnsi" w:eastAsiaTheme="majorEastAsia" w:hAnsiTheme="majorHAnsi" w:cs="Arial"/>
          <w:color w:val="auto"/>
          <w:sz w:val="24"/>
          <w:szCs w:val="24"/>
        </w:rPr>
        <w:t xml:space="preserve"> </w:t>
      </w:r>
      <w:r w:rsidR="00FA05B0" w:rsidRPr="006849EE">
        <w:rPr>
          <w:rFonts w:asciiTheme="majorHAnsi" w:eastAsiaTheme="majorEastAsia" w:hAnsiTheme="majorHAnsi" w:cs="Arial"/>
          <w:color w:val="auto"/>
          <w:sz w:val="24"/>
          <w:szCs w:val="24"/>
        </w:rPr>
        <w:t xml:space="preserve">any </w:t>
      </w:r>
      <w:r w:rsidR="00533DCA" w:rsidRPr="006849EE">
        <w:rPr>
          <w:rFonts w:asciiTheme="majorHAnsi" w:eastAsiaTheme="majorEastAsia" w:hAnsiTheme="majorHAnsi" w:cs="Arial"/>
          <w:color w:val="auto"/>
          <w:sz w:val="24"/>
          <w:szCs w:val="24"/>
        </w:rPr>
        <w:t xml:space="preserve">statutory charges </w:t>
      </w:r>
      <w:r w:rsidR="000B55DC" w:rsidRPr="006849EE">
        <w:rPr>
          <w:rFonts w:asciiTheme="majorHAnsi" w:eastAsiaTheme="majorEastAsia" w:hAnsiTheme="majorHAnsi" w:cs="Arial"/>
          <w:color w:val="auto"/>
          <w:sz w:val="24"/>
          <w:szCs w:val="24"/>
        </w:rPr>
        <w:t>such as electricity duty</w:t>
      </w:r>
      <w:r w:rsidR="00FA05B0" w:rsidRPr="006849EE">
        <w:rPr>
          <w:rFonts w:asciiTheme="majorHAnsi" w:eastAsiaTheme="majorEastAsia" w:hAnsiTheme="majorHAnsi" w:cs="Arial"/>
          <w:color w:val="auto"/>
          <w:sz w:val="24"/>
          <w:szCs w:val="24"/>
        </w:rPr>
        <w:t xml:space="preserve"> etc.</w:t>
      </w:r>
      <w:r w:rsidR="000B55DC" w:rsidRPr="006849EE">
        <w:rPr>
          <w:rFonts w:asciiTheme="majorHAnsi" w:eastAsiaTheme="majorEastAsia" w:hAnsiTheme="majorHAnsi" w:cs="Arial"/>
          <w:color w:val="auto"/>
          <w:sz w:val="24"/>
          <w:szCs w:val="24"/>
        </w:rPr>
        <w:t xml:space="preserve"> has not been </w:t>
      </w:r>
      <w:r w:rsidRPr="006849EE">
        <w:rPr>
          <w:rFonts w:asciiTheme="majorHAnsi" w:eastAsiaTheme="majorEastAsia" w:hAnsiTheme="majorHAnsi" w:cs="Arial"/>
          <w:color w:val="auto"/>
          <w:sz w:val="24"/>
          <w:szCs w:val="24"/>
        </w:rPr>
        <w:t xml:space="preserve">included in the ARR </w:t>
      </w:r>
      <w:r w:rsidR="00533DCA" w:rsidRPr="006849EE">
        <w:rPr>
          <w:rFonts w:asciiTheme="majorHAnsi" w:eastAsiaTheme="majorEastAsia" w:hAnsiTheme="majorHAnsi" w:cs="Arial"/>
          <w:color w:val="auto"/>
          <w:sz w:val="24"/>
          <w:szCs w:val="24"/>
        </w:rPr>
        <w:t>and shal</w:t>
      </w:r>
      <w:r w:rsidR="0015564D" w:rsidRPr="006849EE">
        <w:rPr>
          <w:rFonts w:asciiTheme="majorHAnsi" w:eastAsiaTheme="majorEastAsia" w:hAnsiTheme="majorHAnsi" w:cs="Arial"/>
          <w:color w:val="auto"/>
          <w:sz w:val="24"/>
          <w:szCs w:val="24"/>
        </w:rPr>
        <w:t>l be allowed by the Hon’ble commission</w:t>
      </w:r>
      <w:r w:rsidRPr="006849EE">
        <w:rPr>
          <w:rFonts w:asciiTheme="majorHAnsi" w:eastAsiaTheme="majorEastAsia" w:hAnsiTheme="majorHAnsi" w:cs="Arial"/>
          <w:color w:val="auto"/>
          <w:sz w:val="24"/>
          <w:szCs w:val="24"/>
        </w:rPr>
        <w:t xml:space="preserve"> </w:t>
      </w:r>
      <w:r w:rsidR="009E285E" w:rsidRPr="006849EE">
        <w:rPr>
          <w:rFonts w:asciiTheme="majorHAnsi" w:eastAsiaTheme="majorEastAsia" w:hAnsiTheme="majorHAnsi" w:cs="Arial"/>
          <w:color w:val="auto"/>
          <w:sz w:val="24"/>
          <w:szCs w:val="24"/>
        </w:rPr>
        <w:t>on actual basis.</w:t>
      </w:r>
      <w:r w:rsidRPr="006849EE">
        <w:rPr>
          <w:rFonts w:asciiTheme="majorHAnsi" w:eastAsiaTheme="majorEastAsia" w:hAnsiTheme="majorHAnsi" w:cs="Arial"/>
          <w:color w:val="auto"/>
          <w:sz w:val="24"/>
          <w:szCs w:val="24"/>
        </w:rPr>
        <w:t xml:space="preserve">  </w:t>
      </w:r>
    </w:p>
    <w:p w14:paraId="6244B19D" w14:textId="03500EFD" w:rsidR="00E84B99" w:rsidRPr="006849EE" w:rsidRDefault="00E84B99" w:rsidP="00FB18C1">
      <w:pPr>
        <w:numPr>
          <w:ilvl w:val="0"/>
          <w:numId w:val="1"/>
        </w:numPr>
        <w:tabs>
          <w:tab w:val="clear" w:pos="1080"/>
          <w:tab w:val="num" w:pos="735"/>
        </w:tabs>
        <w:spacing w:line="360" w:lineRule="auto"/>
        <w:ind w:left="734" w:hanging="735"/>
        <w:jc w:val="both"/>
        <w:rPr>
          <w:rFonts w:asciiTheme="majorHAnsi" w:hAnsiTheme="majorHAnsi" w:cstheme="minorBidi"/>
          <w:color w:val="auto"/>
          <w:sz w:val="24"/>
          <w:szCs w:val="24"/>
          <w:lang w:val="en-IN"/>
        </w:rPr>
      </w:pPr>
      <w:r w:rsidRPr="006849EE">
        <w:rPr>
          <w:rFonts w:asciiTheme="majorHAnsi" w:hAnsiTheme="majorHAnsi"/>
          <w:sz w:val="24"/>
          <w:szCs w:val="24"/>
          <w:lang w:val="en-IN"/>
        </w:rPr>
        <w:t xml:space="preserve">DVC </w:t>
      </w:r>
      <w:r w:rsidRPr="006849EE">
        <w:rPr>
          <w:rFonts w:asciiTheme="majorHAnsi" w:hAnsiTheme="majorHAnsi" w:cs="Arial"/>
          <w:color w:val="auto"/>
          <w:sz w:val="24"/>
          <w:szCs w:val="24"/>
        </w:rPr>
        <w:t>humbly</w:t>
      </w:r>
      <w:r w:rsidRPr="006849EE">
        <w:rPr>
          <w:rFonts w:asciiTheme="majorHAnsi" w:hAnsiTheme="majorHAnsi"/>
          <w:sz w:val="24"/>
          <w:szCs w:val="24"/>
          <w:lang w:val="en-IN"/>
        </w:rPr>
        <w:t xml:space="preserve"> submits before the </w:t>
      </w:r>
      <w:r w:rsidR="00BB60A4" w:rsidRPr="006849EE">
        <w:rPr>
          <w:rFonts w:asciiTheme="majorHAnsi" w:hAnsiTheme="majorHAnsi"/>
          <w:sz w:val="24"/>
          <w:szCs w:val="24"/>
          <w:lang w:val="en-IN"/>
        </w:rPr>
        <w:t>Hon’ble</w:t>
      </w:r>
      <w:r w:rsidRPr="006849EE">
        <w:rPr>
          <w:rFonts w:asciiTheme="majorHAnsi" w:hAnsiTheme="majorHAnsi"/>
          <w:sz w:val="24"/>
          <w:szCs w:val="24"/>
          <w:lang w:val="en-IN"/>
        </w:rPr>
        <w:t xml:space="preserve"> Commission to determine </w:t>
      </w:r>
      <w:r w:rsidR="006A0436" w:rsidRPr="006849EE">
        <w:rPr>
          <w:rFonts w:asciiTheme="majorHAnsi" w:hAnsiTheme="majorHAnsi"/>
          <w:sz w:val="24"/>
          <w:szCs w:val="24"/>
          <w:lang w:val="en-IN"/>
        </w:rPr>
        <w:t>the cost</w:t>
      </w:r>
      <w:r w:rsidRPr="006849EE">
        <w:rPr>
          <w:rFonts w:asciiTheme="majorHAnsi" w:hAnsiTheme="majorHAnsi"/>
          <w:sz w:val="24"/>
          <w:szCs w:val="24"/>
          <w:lang w:val="en-IN"/>
        </w:rPr>
        <w:t xml:space="preserve"> reflective </w:t>
      </w:r>
      <w:r w:rsidR="006A0436" w:rsidRPr="006849EE">
        <w:rPr>
          <w:rFonts w:asciiTheme="majorHAnsi" w:hAnsiTheme="majorHAnsi"/>
          <w:sz w:val="24"/>
          <w:szCs w:val="24"/>
          <w:lang w:val="en-IN"/>
        </w:rPr>
        <w:t>tariff for</w:t>
      </w:r>
      <w:r w:rsidRPr="006849EE">
        <w:rPr>
          <w:rFonts w:asciiTheme="majorHAnsi" w:hAnsiTheme="majorHAnsi"/>
          <w:sz w:val="24"/>
          <w:szCs w:val="24"/>
          <w:lang w:val="en-IN"/>
        </w:rPr>
        <w:t xml:space="preserve"> the consumers of Jharkhand that should be commensurate with the Average Cost </w:t>
      </w:r>
      <w:proofErr w:type="gramStart"/>
      <w:r w:rsidRPr="006849EE">
        <w:rPr>
          <w:rFonts w:asciiTheme="majorHAnsi" w:hAnsiTheme="majorHAnsi"/>
          <w:sz w:val="24"/>
          <w:szCs w:val="24"/>
          <w:lang w:val="en-IN"/>
        </w:rPr>
        <w:t>Of</w:t>
      </w:r>
      <w:proofErr w:type="gramEnd"/>
      <w:r w:rsidRPr="006849EE">
        <w:rPr>
          <w:rFonts w:asciiTheme="majorHAnsi" w:hAnsiTheme="majorHAnsi"/>
          <w:sz w:val="24"/>
          <w:szCs w:val="24"/>
          <w:lang w:val="en-IN"/>
        </w:rPr>
        <w:t xml:space="preserve"> Supply. It is humbly stated that the earlier tariff orders issued by the </w:t>
      </w:r>
      <w:r w:rsidR="00BB60A4" w:rsidRPr="006849EE">
        <w:rPr>
          <w:rFonts w:asciiTheme="majorHAnsi" w:hAnsiTheme="majorHAnsi"/>
          <w:sz w:val="24"/>
          <w:szCs w:val="24"/>
          <w:lang w:val="en-IN"/>
        </w:rPr>
        <w:t>Hon’ble</w:t>
      </w:r>
      <w:r w:rsidRPr="006849EE">
        <w:rPr>
          <w:rFonts w:asciiTheme="majorHAnsi" w:hAnsiTheme="majorHAnsi"/>
          <w:sz w:val="24"/>
          <w:szCs w:val="24"/>
          <w:lang w:val="en-IN"/>
        </w:rPr>
        <w:t xml:space="preserve"> Commission were not cost </w:t>
      </w:r>
      <w:r w:rsidR="006A0436" w:rsidRPr="006849EE">
        <w:rPr>
          <w:rFonts w:asciiTheme="majorHAnsi" w:hAnsiTheme="majorHAnsi"/>
          <w:sz w:val="24"/>
          <w:szCs w:val="24"/>
          <w:lang w:val="en-IN"/>
        </w:rPr>
        <w:t>reflective, and</w:t>
      </w:r>
      <w:r w:rsidRPr="006849EE">
        <w:rPr>
          <w:rFonts w:asciiTheme="majorHAnsi" w:hAnsiTheme="majorHAnsi"/>
          <w:sz w:val="24"/>
          <w:szCs w:val="24"/>
          <w:lang w:val="en-IN"/>
        </w:rPr>
        <w:t xml:space="preserve"> consequently the Average Billing Rate (</w:t>
      </w:r>
      <w:r w:rsidR="006A0436" w:rsidRPr="006849EE">
        <w:rPr>
          <w:rFonts w:asciiTheme="majorHAnsi" w:hAnsiTheme="majorHAnsi"/>
          <w:sz w:val="24"/>
          <w:szCs w:val="24"/>
          <w:lang w:val="en-IN"/>
        </w:rPr>
        <w:t>ABR)</w:t>
      </w:r>
      <w:r w:rsidRPr="006849EE">
        <w:rPr>
          <w:rFonts w:asciiTheme="majorHAnsi" w:hAnsiTheme="majorHAnsi"/>
          <w:sz w:val="24"/>
          <w:szCs w:val="24"/>
          <w:lang w:val="en-IN"/>
        </w:rPr>
        <w:t xml:space="preserve"> was much lower than the approved average cost of supply. In the tariff order dated 27.05.2025 , the </w:t>
      </w:r>
      <w:r w:rsidR="00BB60A4" w:rsidRPr="006849EE">
        <w:rPr>
          <w:rFonts w:asciiTheme="majorHAnsi" w:hAnsiTheme="majorHAnsi"/>
          <w:sz w:val="24"/>
          <w:szCs w:val="24"/>
          <w:lang w:val="en-IN"/>
        </w:rPr>
        <w:t>Hon’ble</w:t>
      </w:r>
      <w:r w:rsidRPr="006849EE">
        <w:rPr>
          <w:rFonts w:asciiTheme="majorHAnsi" w:hAnsiTheme="majorHAnsi"/>
          <w:sz w:val="24"/>
          <w:szCs w:val="24"/>
          <w:lang w:val="en-IN"/>
        </w:rPr>
        <w:t xml:space="preserve"> commission while determining the tariff </w:t>
      </w:r>
      <w:r w:rsidRPr="006849EE">
        <w:rPr>
          <w:rFonts w:asciiTheme="majorHAnsi" w:hAnsiTheme="majorHAnsi"/>
          <w:sz w:val="24"/>
          <w:szCs w:val="24"/>
          <w:lang w:val="en-IN"/>
        </w:rPr>
        <w:lastRenderedPageBreak/>
        <w:t>for FY 2025 -26 has approved the average cost of supply as Rs 5.61 Rs /</w:t>
      </w:r>
      <w:proofErr w:type="spellStart"/>
      <w:r w:rsidRPr="006849EE">
        <w:rPr>
          <w:rFonts w:asciiTheme="majorHAnsi" w:hAnsiTheme="majorHAnsi"/>
          <w:sz w:val="24"/>
          <w:szCs w:val="24"/>
          <w:lang w:val="en-IN"/>
        </w:rPr>
        <w:t>Kwh</w:t>
      </w:r>
      <w:proofErr w:type="spellEnd"/>
      <w:r w:rsidRPr="006849EE">
        <w:rPr>
          <w:rFonts w:asciiTheme="majorHAnsi" w:hAnsiTheme="majorHAnsi"/>
          <w:sz w:val="24"/>
          <w:szCs w:val="24"/>
          <w:lang w:val="en-IN"/>
        </w:rPr>
        <w:t xml:space="preserve"> , however it is humbly submitted that  due to erroneous consideration of  power factor and non-consideration of rebates (Viz Load Factor rebate and </w:t>
      </w:r>
      <w:proofErr w:type="spellStart"/>
      <w:r w:rsidRPr="006849EE">
        <w:rPr>
          <w:rFonts w:asciiTheme="majorHAnsi" w:hAnsiTheme="majorHAnsi"/>
          <w:sz w:val="24"/>
          <w:szCs w:val="24"/>
          <w:lang w:val="en-IN"/>
        </w:rPr>
        <w:t>Volatge</w:t>
      </w:r>
      <w:proofErr w:type="spellEnd"/>
      <w:r w:rsidRPr="006849EE">
        <w:rPr>
          <w:rFonts w:asciiTheme="majorHAnsi" w:hAnsiTheme="majorHAnsi"/>
          <w:sz w:val="24"/>
          <w:szCs w:val="24"/>
          <w:lang w:val="en-IN"/>
        </w:rPr>
        <w:t xml:space="preserve"> Rebate ) in the tariff computation design , the effective billing rate for the consumers of Jharkhand hovers around 4.90 Rs/</w:t>
      </w:r>
      <w:proofErr w:type="spellStart"/>
      <w:r w:rsidRPr="006849EE">
        <w:rPr>
          <w:rFonts w:asciiTheme="majorHAnsi" w:hAnsiTheme="majorHAnsi"/>
          <w:sz w:val="24"/>
          <w:szCs w:val="24"/>
          <w:lang w:val="en-IN"/>
        </w:rPr>
        <w:t>kwH</w:t>
      </w:r>
      <w:proofErr w:type="spellEnd"/>
      <w:r w:rsidRPr="006849EE">
        <w:rPr>
          <w:rFonts w:asciiTheme="majorHAnsi" w:hAnsiTheme="majorHAnsi"/>
          <w:sz w:val="24"/>
          <w:szCs w:val="24"/>
          <w:lang w:val="en-IN"/>
        </w:rPr>
        <w:t xml:space="preserve"> , thus creating a gap of Rs 0.70/</w:t>
      </w:r>
      <w:proofErr w:type="spellStart"/>
      <w:r w:rsidRPr="006849EE">
        <w:rPr>
          <w:rFonts w:asciiTheme="majorHAnsi" w:hAnsiTheme="majorHAnsi"/>
          <w:sz w:val="24"/>
          <w:szCs w:val="24"/>
          <w:lang w:val="en-IN"/>
        </w:rPr>
        <w:t>Kwh</w:t>
      </w:r>
      <w:proofErr w:type="spellEnd"/>
      <w:r w:rsidRPr="006849EE">
        <w:rPr>
          <w:rFonts w:asciiTheme="majorHAnsi" w:hAnsiTheme="majorHAnsi"/>
          <w:sz w:val="24"/>
          <w:szCs w:val="24"/>
          <w:lang w:val="en-IN"/>
        </w:rPr>
        <w:t xml:space="preserve"> per unit of sale of power for DVC . </w:t>
      </w:r>
    </w:p>
    <w:p w14:paraId="005EB991" w14:textId="53A91B23" w:rsidR="00E84B99" w:rsidRPr="006849EE" w:rsidRDefault="00E84B99" w:rsidP="00FB18C1">
      <w:pPr>
        <w:numPr>
          <w:ilvl w:val="0"/>
          <w:numId w:val="1"/>
        </w:numPr>
        <w:tabs>
          <w:tab w:val="clear" w:pos="1080"/>
          <w:tab w:val="num" w:pos="735"/>
        </w:tabs>
        <w:spacing w:line="360" w:lineRule="auto"/>
        <w:ind w:left="734" w:hanging="735"/>
        <w:jc w:val="both"/>
        <w:rPr>
          <w:rFonts w:asciiTheme="majorHAnsi" w:hAnsiTheme="majorHAnsi"/>
          <w:sz w:val="24"/>
          <w:szCs w:val="24"/>
          <w:lang w:val="en-IN"/>
        </w:rPr>
      </w:pPr>
      <w:r w:rsidRPr="006849EE">
        <w:rPr>
          <w:rFonts w:asciiTheme="majorHAnsi" w:hAnsiTheme="majorHAnsi"/>
          <w:sz w:val="24"/>
          <w:szCs w:val="24"/>
          <w:lang w:val="en-IN"/>
        </w:rPr>
        <w:t xml:space="preserve">The </w:t>
      </w:r>
      <w:r w:rsidRPr="006849EE">
        <w:rPr>
          <w:rFonts w:asciiTheme="majorHAnsi" w:hAnsiTheme="majorHAnsi" w:cs="Arial"/>
          <w:color w:val="auto"/>
          <w:sz w:val="24"/>
          <w:szCs w:val="24"/>
        </w:rPr>
        <w:t>average</w:t>
      </w:r>
      <w:r w:rsidRPr="006849EE">
        <w:rPr>
          <w:rFonts w:asciiTheme="majorHAnsi" w:hAnsiTheme="majorHAnsi"/>
          <w:sz w:val="24"/>
          <w:szCs w:val="24"/>
          <w:lang w:val="en-IN"/>
        </w:rPr>
        <w:t xml:space="preserve"> power factor that has been found from the billing details from the sale of power to Jharkhand consumers is around 0.97 to 0.98 which is much higher than that has been considered by the </w:t>
      </w:r>
      <w:r w:rsidR="006A0436" w:rsidRPr="006849EE">
        <w:rPr>
          <w:rFonts w:asciiTheme="majorHAnsi" w:hAnsiTheme="majorHAnsi"/>
          <w:sz w:val="24"/>
          <w:szCs w:val="24"/>
          <w:lang w:val="en-IN"/>
        </w:rPr>
        <w:t>commission (</w:t>
      </w:r>
      <w:proofErr w:type="spellStart"/>
      <w:r w:rsidRPr="006849EE">
        <w:rPr>
          <w:rFonts w:asciiTheme="majorHAnsi" w:hAnsiTheme="majorHAnsi"/>
          <w:sz w:val="24"/>
          <w:szCs w:val="24"/>
          <w:lang w:val="en-IN"/>
        </w:rPr>
        <w:t>i.e</w:t>
      </w:r>
      <w:proofErr w:type="spellEnd"/>
      <w:r w:rsidRPr="006849EE">
        <w:rPr>
          <w:rFonts w:asciiTheme="majorHAnsi" w:hAnsiTheme="majorHAnsi"/>
          <w:sz w:val="24"/>
          <w:szCs w:val="24"/>
          <w:lang w:val="en-IN"/>
        </w:rPr>
        <w:t xml:space="preserve"> around 0.90). This in turn is resulting in inflated figures of sale in </w:t>
      </w:r>
      <w:proofErr w:type="spellStart"/>
      <w:r w:rsidRPr="006849EE">
        <w:rPr>
          <w:rFonts w:asciiTheme="majorHAnsi" w:hAnsiTheme="majorHAnsi"/>
          <w:sz w:val="24"/>
          <w:szCs w:val="24"/>
          <w:lang w:val="en-IN"/>
        </w:rPr>
        <w:t>MkVAH</w:t>
      </w:r>
      <w:proofErr w:type="spellEnd"/>
      <w:r w:rsidRPr="006849EE">
        <w:rPr>
          <w:rFonts w:asciiTheme="majorHAnsi" w:hAnsiTheme="majorHAnsi"/>
          <w:sz w:val="24"/>
          <w:szCs w:val="24"/>
          <w:lang w:val="en-IN"/>
        </w:rPr>
        <w:t xml:space="preserve"> (= sale in </w:t>
      </w:r>
      <w:proofErr w:type="spellStart"/>
      <w:r w:rsidRPr="006849EE">
        <w:rPr>
          <w:rFonts w:asciiTheme="majorHAnsi" w:hAnsiTheme="majorHAnsi"/>
          <w:sz w:val="24"/>
          <w:szCs w:val="24"/>
          <w:lang w:val="en-IN"/>
        </w:rPr>
        <w:t>KwH</w:t>
      </w:r>
      <w:proofErr w:type="spellEnd"/>
      <w:r w:rsidRPr="006849EE">
        <w:rPr>
          <w:rFonts w:asciiTheme="majorHAnsi" w:hAnsiTheme="majorHAnsi"/>
          <w:sz w:val="24"/>
          <w:szCs w:val="24"/>
          <w:lang w:val="en-IN"/>
        </w:rPr>
        <w:t xml:space="preserve">/power factor) during the respective years which in turn results in lower figure of variable charge being computed than what is actually incurred. </w:t>
      </w:r>
      <w:proofErr w:type="gramStart"/>
      <w:r w:rsidRPr="006849EE">
        <w:rPr>
          <w:rFonts w:asciiTheme="majorHAnsi" w:hAnsiTheme="majorHAnsi"/>
          <w:sz w:val="24"/>
          <w:szCs w:val="24"/>
          <w:lang w:val="en-IN"/>
        </w:rPr>
        <w:t>Also</w:t>
      </w:r>
      <w:proofErr w:type="gramEnd"/>
      <w:r w:rsidRPr="006849EE">
        <w:rPr>
          <w:rFonts w:asciiTheme="majorHAnsi" w:hAnsiTheme="majorHAnsi"/>
          <w:sz w:val="24"/>
          <w:szCs w:val="24"/>
          <w:lang w:val="en-IN"/>
        </w:rPr>
        <w:t xml:space="preserve"> the non-consideration of the load factor rebate and the voltage rebate in the tariff design results in the non-cost reflective tariff which becomes non commensurate with the Average Cost of Supply. </w:t>
      </w:r>
    </w:p>
    <w:p w14:paraId="5391F8B1" w14:textId="3053F71C" w:rsidR="00E84B99" w:rsidRPr="006849EE" w:rsidRDefault="006A0436" w:rsidP="00C911F1">
      <w:pPr>
        <w:numPr>
          <w:ilvl w:val="0"/>
          <w:numId w:val="1"/>
        </w:numPr>
        <w:tabs>
          <w:tab w:val="clear" w:pos="1080"/>
          <w:tab w:val="num" w:pos="735"/>
        </w:tabs>
        <w:spacing w:line="360" w:lineRule="auto"/>
        <w:ind w:left="734" w:hanging="735"/>
        <w:jc w:val="both"/>
        <w:rPr>
          <w:rFonts w:asciiTheme="majorHAnsi" w:hAnsiTheme="majorHAnsi"/>
          <w:sz w:val="24"/>
          <w:szCs w:val="24"/>
          <w:lang w:val="en-IN"/>
        </w:rPr>
      </w:pPr>
      <w:r w:rsidRPr="006849EE">
        <w:rPr>
          <w:rFonts w:asciiTheme="majorHAnsi" w:hAnsiTheme="majorHAnsi" w:cs="Arial"/>
          <w:color w:val="auto"/>
          <w:sz w:val="24"/>
          <w:szCs w:val="24"/>
        </w:rPr>
        <w:t>Further</w:t>
      </w:r>
      <w:r w:rsidRPr="006849EE">
        <w:rPr>
          <w:rFonts w:asciiTheme="majorHAnsi" w:hAnsiTheme="majorHAnsi"/>
          <w:sz w:val="24"/>
          <w:szCs w:val="24"/>
          <w:lang w:val="en-IN"/>
        </w:rPr>
        <w:t>,</w:t>
      </w:r>
      <w:r w:rsidR="00E84B99" w:rsidRPr="006849EE">
        <w:rPr>
          <w:rFonts w:asciiTheme="majorHAnsi" w:hAnsiTheme="majorHAnsi"/>
          <w:sz w:val="24"/>
          <w:szCs w:val="24"/>
          <w:lang w:val="en-IN"/>
        </w:rPr>
        <w:t xml:space="preserve"> it is humbly stated that the matter of disparity between </w:t>
      </w:r>
      <w:proofErr w:type="spellStart"/>
      <w:r w:rsidR="00E84B99" w:rsidRPr="006849EE">
        <w:rPr>
          <w:rFonts w:asciiTheme="majorHAnsi" w:hAnsiTheme="majorHAnsi"/>
          <w:sz w:val="24"/>
          <w:szCs w:val="24"/>
          <w:lang w:val="en-IN"/>
        </w:rPr>
        <w:t>ACoS</w:t>
      </w:r>
      <w:proofErr w:type="spellEnd"/>
      <w:r w:rsidR="00E84B99" w:rsidRPr="006849EE">
        <w:rPr>
          <w:rFonts w:asciiTheme="majorHAnsi" w:hAnsiTheme="majorHAnsi"/>
          <w:sz w:val="24"/>
          <w:szCs w:val="24"/>
          <w:lang w:val="en-IN"/>
        </w:rPr>
        <w:t xml:space="preserve"> and ABR or effective billing rate was elaborated in </w:t>
      </w:r>
      <w:r w:rsidRPr="006849EE">
        <w:rPr>
          <w:rFonts w:asciiTheme="majorHAnsi" w:hAnsiTheme="majorHAnsi"/>
          <w:sz w:val="24"/>
          <w:szCs w:val="24"/>
          <w:lang w:val="en-IN"/>
        </w:rPr>
        <w:t>detail</w:t>
      </w:r>
      <w:r w:rsidR="00E84B99" w:rsidRPr="006849EE">
        <w:rPr>
          <w:rFonts w:asciiTheme="majorHAnsi" w:hAnsiTheme="majorHAnsi"/>
          <w:sz w:val="24"/>
          <w:szCs w:val="24"/>
          <w:lang w:val="en-IN"/>
        </w:rPr>
        <w:t xml:space="preserve"> in our earlier public hearings held on 10.03.2025 and 11.03.2025 at Hazaribagh and </w:t>
      </w:r>
      <w:proofErr w:type="spellStart"/>
      <w:r w:rsidR="00E84B99" w:rsidRPr="006849EE">
        <w:rPr>
          <w:rFonts w:asciiTheme="majorHAnsi" w:hAnsiTheme="majorHAnsi"/>
          <w:sz w:val="24"/>
          <w:szCs w:val="24"/>
          <w:lang w:val="en-IN"/>
        </w:rPr>
        <w:t>Maithon</w:t>
      </w:r>
      <w:proofErr w:type="spellEnd"/>
      <w:r w:rsidR="00E84B99" w:rsidRPr="006849EE">
        <w:rPr>
          <w:rFonts w:asciiTheme="majorHAnsi" w:hAnsiTheme="majorHAnsi"/>
          <w:sz w:val="24"/>
          <w:szCs w:val="24"/>
          <w:lang w:val="en-IN"/>
        </w:rPr>
        <w:t xml:space="preserve"> respectively. The table below depicts the revenue determined by the Hon’ble Commission in the order dated 27.05.2025 (Table No 86 of the order, dated rate is existing as on </w:t>
      </w:r>
      <w:proofErr w:type="gramStart"/>
      <w:r w:rsidR="00E84B99" w:rsidRPr="006849EE">
        <w:rPr>
          <w:rFonts w:asciiTheme="majorHAnsi" w:hAnsiTheme="majorHAnsi"/>
          <w:sz w:val="24"/>
          <w:szCs w:val="24"/>
          <w:lang w:val="en-IN"/>
        </w:rPr>
        <w:t>27.05.2025 )</w:t>
      </w:r>
      <w:proofErr w:type="gramEnd"/>
      <w:r w:rsidR="00E84B99" w:rsidRPr="006849EE">
        <w:rPr>
          <w:rFonts w:asciiTheme="majorHAnsi" w:hAnsiTheme="majorHAnsi"/>
          <w:sz w:val="24"/>
          <w:szCs w:val="24"/>
          <w:lang w:val="en-IN"/>
        </w:rPr>
        <w:t xml:space="preserve">, which is reproduced below with </w:t>
      </w:r>
      <w:r w:rsidRPr="006849EE">
        <w:rPr>
          <w:rFonts w:asciiTheme="majorHAnsi" w:hAnsiTheme="majorHAnsi"/>
          <w:sz w:val="24"/>
          <w:szCs w:val="24"/>
          <w:lang w:val="en-IN"/>
        </w:rPr>
        <w:t>elaboration.</w:t>
      </w:r>
    </w:p>
    <w:p w14:paraId="28028FFF" w14:textId="77777777" w:rsidR="00C911F1" w:rsidRPr="006849EE" w:rsidRDefault="00C911F1" w:rsidP="00ED752B">
      <w:pPr>
        <w:spacing w:line="360" w:lineRule="auto"/>
        <w:ind w:left="734"/>
        <w:jc w:val="both"/>
        <w:rPr>
          <w:rFonts w:asciiTheme="majorHAnsi" w:hAnsiTheme="majorHAnsi"/>
          <w:sz w:val="24"/>
          <w:szCs w:val="24"/>
          <w:lang w:val="en-IN"/>
        </w:rPr>
      </w:pPr>
    </w:p>
    <w:tbl>
      <w:tblPr>
        <w:tblW w:w="9865"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00" w:firstRow="0" w:lastRow="0" w:firstColumn="0" w:lastColumn="0" w:noHBand="0" w:noVBand="1"/>
      </w:tblPr>
      <w:tblGrid>
        <w:gridCol w:w="732"/>
        <w:gridCol w:w="455"/>
        <w:gridCol w:w="583"/>
        <w:gridCol w:w="682"/>
        <w:gridCol w:w="846"/>
        <w:gridCol w:w="693"/>
        <w:gridCol w:w="1109"/>
        <w:gridCol w:w="639"/>
        <w:gridCol w:w="1327"/>
        <w:gridCol w:w="760"/>
        <w:gridCol w:w="801"/>
        <w:gridCol w:w="705"/>
        <w:gridCol w:w="881"/>
      </w:tblGrid>
      <w:tr w:rsidR="00E84B99" w:rsidRPr="006849EE" w14:paraId="3DC0874E" w14:textId="77777777" w:rsidTr="006849EE">
        <w:trPr>
          <w:trHeight w:val="288"/>
        </w:trPr>
        <w:tc>
          <w:tcPr>
            <w:tcW w:w="986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1FE8EFF" w14:textId="77777777" w:rsidR="00E84B99" w:rsidRPr="006849EE" w:rsidRDefault="00E84B99">
            <w:pPr>
              <w:ind w:left="146" w:right="100" w:hanging="142"/>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Statement of Revenue at existing Tariff for FY 2025-</w:t>
            </w:r>
            <w:proofErr w:type="gramStart"/>
            <w:r w:rsidRPr="006849EE">
              <w:rPr>
                <w:rFonts w:asciiTheme="majorHAnsi" w:eastAsia="Book Antiqua" w:hAnsiTheme="majorHAnsi" w:cs="Book Antiqua"/>
                <w:b/>
                <w:kern w:val="2"/>
                <w:sz w:val="14"/>
                <w:szCs w:val="14"/>
                <w14:ligatures w14:val="standardContextual"/>
              </w:rPr>
              <w:t>26  (</w:t>
            </w:r>
            <w:proofErr w:type="gramEnd"/>
            <w:r w:rsidRPr="006849EE">
              <w:rPr>
                <w:rFonts w:asciiTheme="majorHAnsi" w:eastAsia="Book Antiqua" w:hAnsiTheme="majorHAnsi" w:cs="Book Antiqua"/>
                <w:b/>
                <w:kern w:val="2"/>
                <w:sz w:val="14"/>
                <w:szCs w:val="14"/>
                <w14:ligatures w14:val="standardContextual"/>
              </w:rPr>
              <w:t xml:space="preserve">Before implementation of new Tariff order </w:t>
            </w:r>
            <w:proofErr w:type="spellStart"/>
            <w:r w:rsidRPr="006849EE">
              <w:rPr>
                <w:rFonts w:asciiTheme="majorHAnsi" w:eastAsia="Book Antiqua" w:hAnsiTheme="majorHAnsi" w:cs="Book Antiqua"/>
                <w:b/>
                <w:kern w:val="2"/>
                <w:sz w:val="14"/>
                <w:szCs w:val="14"/>
                <w14:ligatures w14:val="standardContextual"/>
              </w:rPr>
              <w:t>dtd</w:t>
            </w:r>
            <w:proofErr w:type="spellEnd"/>
            <w:r w:rsidRPr="006849EE">
              <w:rPr>
                <w:rFonts w:asciiTheme="majorHAnsi" w:eastAsia="Book Antiqua" w:hAnsiTheme="majorHAnsi" w:cs="Book Antiqua"/>
                <w:b/>
                <w:kern w:val="2"/>
                <w:sz w:val="14"/>
                <w:szCs w:val="14"/>
                <w14:ligatures w14:val="standardContextual"/>
              </w:rPr>
              <w:t xml:space="preserve"> 27.05.2025) </w:t>
            </w:r>
          </w:p>
        </w:tc>
      </w:tr>
      <w:tr w:rsidR="00703917" w:rsidRPr="006849EE" w14:paraId="29720FAA" w14:textId="77777777" w:rsidTr="006849EE">
        <w:trPr>
          <w:trHeight w:val="570"/>
        </w:trPr>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E139DCB" w14:textId="77777777" w:rsidR="00E84B99" w:rsidRPr="006849EE" w:rsidRDefault="00E84B99">
            <w:pPr>
              <w:ind w:left="4" w:right="47"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Category</w:t>
            </w:r>
          </w:p>
        </w:tc>
        <w:tc>
          <w:tcPr>
            <w:tcW w:w="4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1994225" w14:textId="77777777" w:rsidR="00E84B99" w:rsidRPr="006849EE" w:rsidRDefault="00E84B99">
            <w:pPr>
              <w:ind w:right="-116"/>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No. of Cons.</w:t>
            </w:r>
          </w:p>
        </w:tc>
        <w:tc>
          <w:tcPr>
            <w:tcW w:w="5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F8B77A2" w14:textId="77777777" w:rsidR="00E84B99" w:rsidRPr="006849EE" w:rsidRDefault="00E84B99">
            <w:pPr>
              <w:ind w:left="52"/>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Conn. Load (MVA)</w:t>
            </w:r>
          </w:p>
          <w:p w14:paraId="447954CC" w14:textId="77777777" w:rsidR="00E84B99" w:rsidRPr="006849EE" w:rsidRDefault="00E84B99">
            <w:pPr>
              <w:ind w:left="52"/>
              <w:jc w:val="center"/>
              <w:rPr>
                <w:rFonts w:asciiTheme="majorHAnsi" w:eastAsia="Book Antiqua" w:hAnsiTheme="majorHAnsi" w:cs="Book Antiqua"/>
                <w:b/>
                <w:kern w:val="2"/>
                <w:sz w:val="14"/>
                <w:szCs w:val="14"/>
                <w14:ligatures w14:val="standardContextual"/>
              </w:rPr>
            </w:pPr>
          </w:p>
          <w:p w14:paraId="7DB6F2DE" w14:textId="77777777" w:rsidR="00E84B99" w:rsidRPr="006849EE" w:rsidRDefault="00E84B99">
            <w:pPr>
              <w:ind w:left="52"/>
              <w:jc w:val="center"/>
              <w:rPr>
                <w:rFonts w:asciiTheme="majorHAnsi" w:eastAsia="Book Antiqua" w:hAnsiTheme="majorHAnsi" w:cs="Book Antiqua"/>
                <w:kern w:val="2"/>
                <w:sz w:val="14"/>
                <w:szCs w:val="14"/>
                <w14:ligatures w14:val="standardContextual"/>
              </w:rPr>
            </w:pPr>
          </w:p>
        </w:tc>
        <w:tc>
          <w:tcPr>
            <w:tcW w:w="6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9029E7" w14:textId="77777777" w:rsidR="00E84B99" w:rsidRPr="006849EE" w:rsidRDefault="00E84B99">
            <w:pPr>
              <w:ind w:right="21" w:hanging="4"/>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Sales (</w:t>
            </w:r>
            <w:proofErr w:type="spellStart"/>
            <w:r w:rsidRPr="006849EE">
              <w:rPr>
                <w:rFonts w:asciiTheme="majorHAnsi" w:eastAsia="Book Antiqua" w:hAnsiTheme="majorHAnsi" w:cs="Book Antiqua"/>
                <w:b/>
                <w:kern w:val="2"/>
                <w:sz w:val="14"/>
                <w:szCs w:val="14"/>
                <w14:ligatures w14:val="standardContextual"/>
              </w:rPr>
              <w:t>MKWh</w:t>
            </w:r>
            <w:proofErr w:type="spellEnd"/>
            <w:r w:rsidRPr="006849EE">
              <w:rPr>
                <w:rFonts w:asciiTheme="majorHAnsi" w:eastAsia="Book Antiqua" w:hAnsiTheme="majorHAnsi" w:cs="Book Antiqua"/>
                <w:b/>
                <w:kern w:val="2"/>
                <w:sz w:val="14"/>
                <w:szCs w:val="14"/>
                <w14:ligatures w14:val="standardContextual"/>
              </w:rPr>
              <w:t>)</w:t>
            </w:r>
          </w:p>
          <w:p w14:paraId="2BA47B7B" w14:textId="77777777" w:rsidR="00E84B99" w:rsidRPr="006849EE" w:rsidRDefault="00E84B99">
            <w:pPr>
              <w:ind w:right="21" w:hanging="4"/>
              <w:jc w:val="center"/>
              <w:rPr>
                <w:rFonts w:asciiTheme="majorHAnsi" w:eastAsia="Book Antiqua" w:hAnsiTheme="majorHAnsi" w:cs="Book Antiqua"/>
                <w:b/>
                <w:kern w:val="2"/>
                <w:sz w:val="14"/>
                <w:szCs w:val="14"/>
                <w14:ligatures w14:val="standardContextual"/>
              </w:rPr>
            </w:pPr>
          </w:p>
          <w:p w14:paraId="6021DB33" w14:textId="77777777" w:rsidR="00E84B99" w:rsidRPr="006849EE" w:rsidRDefault="00E84B99">
            <w:pPr>
              <w:ind w:right="21" w:hanging="4"/>
              <w:jc w:val="center"/>
              <w:rPr>
                <w:rFonts w:asciiTheme="majorHAnsi" w:eastAsia="Book Antiqua" w:hAnsiTheme="majorHAnsi" w:cs="Book Antiqua"/>
                <w:kern w:val="2"/>
                <w:sz w:val="14"/>
                <w:szCs w:val="14"/>
                <w14:ligatures w14:val="standardContextual"/>
              </w:rPr>
            </w:pP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DE3123D" w14:textId="77777777" w:rsidR="00E84B99" w:rsidRPr="006849EE" w:rsidRDefault="00E84B99">
            <w:pPr>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Sales (</w:t>
            </w:r>
            <w:proofErr w:type="spellStart"/>
            <w:r w:rsidRPr="006849EE">
              <w:rPr>
                <w:rFonts w:asciiTheme="majorHAnsi" w:eastAsia="Book Antiqua" w:hAnsiTheme="majorHAnsi" w:cs="Book Antiqua"/>
                <w:b/>
                <w:kern w:val="2"/>
                <w:sz w:val="14"/>
                <w:szCs w:val="14"/>
                <w14:ligatures w14:val="standardContextual"/>
              </w:rPr>
              <w:t>MKVAh</w:t>
            </w:r>
            <w:proofErr w:type="spellEnd"/>
            <w:r w:rsidRPr="006849EE">
              <w:rPr>
                <w:rFonts w:asciiTheme="majorHAnsi" w:eastAsia="Book Antiqua" w:hAnsiTheme="majorHAnsi" w:cs="Book Antiqua"/>
                <w:b/>
                <w:kern w:val="2"/>
                <w:sz w:val="14"/>
                <w:szCs w:val="14"/>
                <w14:ligatures w14:val="standardContextual"/>
              </w:rPr>
              <w:t>)</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B3F786A" w14:textId="77777777" w:rsidR="00E84B99" w:rsidRPr="006849EE" w:rsidRDefault="00E84B99">
            <w:pPr>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Sales (</w:t>
            </w:r>
            <w:proofErr w:type="spellStart"/>
            <w:r w:rsidRPr="006849EE">
              <w:rPr>
                <w:rFonts w:asciiTheme="majorHAnsi" w:eastAsia="Book Antiqua" w:hAnsiTheme="majorHAnsi" w:cs="Book Antiqua"/>
                <w:b/>
                <w:kern w:val="2"/>
                <w:sz w:val="14"/>
                <w:szCs w:val="14"/>
                <w14:ligatures w14:val="standardContextual"/>
              </w:rPr>
              <w:t>MKVAh</w:t>
            </w:r>
            <w:proofErr w:type="spellEnd"/>
            <w:r w:rsidRPr="006849EE">
              <w:rPr>
                <w:rFonts w:asciiTheme="majorHAnsi" w:eastAsia="Book Antiqua" w:hAnsiTheme="majorHAnsi" w:cs="Book Antiqua"/>
                <w:b/>
                <w:kern w:val="2"/>
                <w:sz w:val="14"/>
                <w:szCs w:val="14"/>
                <w14:ligatures w14:val="standardContextual"/>
              </w:rPr>
              <w:t>)</w:t>
            </w:r>
          </w:p>
        </w:tc>
        <w:tc>
          <w:tcPr>
            <w:tcW w:w="10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FB5493" w14:textId="77777777" w:rsidR="00E84B99" w:rsidRPr="006849EE" w:rsidRDefault="00E84B99">
            <w:pPr>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Fixed Charge</w:t>
            </w:r>
          </w:p>
          <w:p w14:paraId="40E84B9E" w14:textId="77777777" w:rsidR="00E84B99" w:rsidRPr="006849EE" w:rsidRDefault="00E84B99">
            <w:pPr>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Rate</w:t>
            </w:r>
          </w:p>
          <w:p w14:paraId="2AA9B96D" w14:textId="77777777" w:rsidR="00E84B99" w:rsidRPr="006849EE" w:rsidRDefault="00E84B99">
            <w:pPr>
              <w:jc w:val="center"/>
              <w:rPr>
                <w:rFonts w:asciiTheme="majorHAnsi" w:eastAsia="Book Antiqua" w:hAnsiTheme="majorHAnsi" w:cs="Book Antiqua"/>
                <w:b/>
                <w:kern w:val="2"/>
                <w:sz w:val="14"/>
                <w:szCs w:val="14"/>
                <w14:ligatures w14:val="standardContextual"/>
              </w:rPr>
            </w:pPr>
          </w:p>
          <w:p w14:paraId="4C3B59F2" w14:textId="77777777" w:rsidR="00E84B99" w:rsidRPr="006849EE" w:rsidRDefault="00E84B99">
            <w:pPr>
              <w:jc w:val="center"/>
              <w:rPr>
                <w:rFonts w:asciiTheme="majorHAnsi" w:eastAsia="Book Antiqua" w:hAnsiTheme="majorHAnsi" w:cs="Book Antiqua"/>
                <w:kern w:val="2"/>
                <w:sz w:val="14"/>
                <w:szCs w:val="14"/>
                <w14:ligatures w14:val="standardContextual"/>
              </w:rPr>
            </w:pPr>
          </w:p>
        </w:tc>
        <w:tc>
          <w:tcPr>
            <w:tcW w:w="6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BF68078" w14:textId="77777777" w:rsidR="00E84B99" w:rsidRPr="006849EE" w:rsidRDefault="00E84B99">
            <w:pPr>
              <w:ind w:left="74"/>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Energy Charge Rate</w:t>
            </w:r>
          </w:p>
          <w:p w14:paraId="5AAB301E" w14:textId="77777777" w:rsidR="00E84B99" w:rsidRPr="006849EE" w:rsidRDefault="00E84B99">
            <w:pPr>
              <w:ind w:left="74"/>
              <w:jc w:val="center"/>
              <w:rPr>
                <w:rFonts w:asciiTheme="majorHAnsi" w:eastAsia="Book Antiqua" w:hAnsiTheme="majorHAnsi" w:cs="Book Antiqua"/>
                <w:b/>
                <w:kern w:val="2"/>
                <w:sz w:val="14"/>
                <w:szCs w:val="14"/>
                <w14:ligatures w14:val="standardContextual"/>
              </w:rPr>
            </w:pPr>
          </w:p>
          <w:p w14:paraId="7461D566" w14:textId="77777777" w:rsidR="00E84B99" w:rsidRPr="006849EE" w:rsidRDefault="00E84B99">
            <w:pPr>
              <w:ind w:left="74"/>
              <w:jc w:val="center"/>
              <w:rPr>
                <w:rFonts w:asciiTheme="majorHAnsi" w:eastAsia="Book Antiqua" w:hAnsiTheme="majorHAnsi" w:cs="Book Antiqua"/>
                <w:kern w:val="2"/>
                <w:sz w:val="14"/>
                <w:szCs w:val="14"/>
                <w14:ligatures w14:val="standardContextual"/>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449679" w14:textId="77777777" w:rsidR="00E84B99" w:rsidRPr="006849EE" w:rsidRDefault="00E84B99">
            <w:pPr>
              <w:ind w:right="49"/>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Fixed Charge</w:t>
            </w:r>
          </w:p>
          <w:p w14:paraId="2A4D99DE" w14:textId="77777777" w:rsidR="00E84B99" w:rsidRPr="006849EE" w:rsidRDefault="00E84B99">
            <w:pPr>
              <w:ind w:right="49"/>
              <w:jc w:val="center"/>
              <w:rPr>
                <w:rFonts w:asciiTheme="majorHAnsi" w:eastAsia="Book Antiqua" w:hAnsiTheme="majorHAnsi" w:cs="Book Antiqua"/>
                <w:kern w:val="2"/>
                <w:sz w:val="14"/>
                <w:szCs w:val="14"/>
                <w14:ligatures w14:val="standardContextual"/>
              </w:rPr>
            </w:pP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E14A16D" w14:textId="77777777" w:rsidR="00E84B99" w:rsidRPr="006849EE" w:rsidRDefault="00E84B99">
            <w:pPr>
              <w:ind w:right="-11"/>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 xml:space="preserve">Energy Charge </w:t>
            </w:r>
          </w:p>
          <w:p w14:paraId="7881D33F" w14:textId="77777777" w:rsidR="00E84B99" w:rsidRPr="006849EE" w:rsidRDefault="00E84B99">
            <w:pPr>
              <w:ind w:right="-11"/>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at 0.90 PF</w:t>
            </w:r>
          </w:p>
          <w:p w14:paraId="27921372" w14:textId="77777777" w:rsidR="00E84B99" w:rsidRPr="006849EE" w:rsidRDefault="00E84B99">
            <w:pPr>
              <w:ind w:right="-11"/>
              <w:jc w:val="center"/>
              <w:rPr>
                <w:rFonts w:asciiTheme="majorHAnsi" w:eastAsia="Book Antiqua" w:hAnsiTheme="majorHAnsi" w:cs="Book Antiqua"/>
                <w:kern w:val="2"/>
                <w:sz w:val="14"/>
                <w:szCs w:val="14"/>
                <w14:ligatures w14:val="standardContextual"/>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00C41F" w14:textId="77777777" w:rsidR="00E84B99" w:rsidRPr="006849EE" w:rsidRDefault="00E84B99">
            <w:pPr>
              <w:ind w:left="41" w:right="-6"/>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Energy Charge at 0.97 PF</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70AC94" w14:textId="77777777" w:rsidR="00E84B99" w:rsidRPr="006849EE" w:rsidRDefault="00E84B99">
            <w:pPr>
              <w:ind w:left="41" w:right="-6"/>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Total Revenue</w:t>
            </w:r>
          </w:p>
          <w:p w14:paraId="4F99A95E" w14:textId="77777777" w:rsidR="00E84B99" w:rsidRPr="006849EE" w:rsidRDefault="00E84B99">
            <w:pPr>
              <w:ind w:left="41" w:right="-6"/>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At 0.90 PF</w:t>
            </w:r>
          </w:p>
          <w:p w14:paraId="550361E0"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CEA956" w14:textId="77777777" w:rsidR="00E84B99" w:rsidRPr="006849EE" w:rsidRDefault="00E84B99">
            <w:pPr>
              <w:ind w:left="41" w:right="-6"/>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Total Revenue</w:t>
            </w:r>
          </w:p>
          <w:p w14:paraId="7C4335B6" w14:textId="77777777" w:rsidR="00E84B99" w:rsidRPr="006849EE" w:rsidRDefault="00E84B99">
            <w:pPr>
              <w:ind w:left="136" w:right="137"/>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At 0.97 PF</w:t>
            </w:r>
          </w:p>
          <w:p w14:paraId="39706F7E" w14:textId="77777777" w:rsidR="00E84B99" w:rsidRPr="006849EE" w:rsidRDefault="00E84B99">
            <w:pPr>
              <w:ind w:left="136" w:right="137"/>
              <w:jc w:val="center"/>
              <w:rPr>
                <w:rFonts w:asciiTheme="majorHAnsi" w:eastAsia="Book Antiqua" w:hAnsiTheme="majorHAnsi" w:cs="Book Antiqua"/>
                <w:kern w:val="2"/>
                <w:sz w:val="14"/>
                <w:szCs w:val="14"/>
                <w14:ligatures w14:val="standardContextual"/>
              </w:rPr>
            </w:pPr>
          </w:p>
        </w:tc>
      </w:tr>
      <w:tr w:rsidR="00703917" w:rsidRPr="006849EE" w14:paraId="468AFFE6" w14:textId="77777777" w:rsidTr="006849EE">
        <w:trPr>
          <w:trHeight w:val="455"/>
        </w:trPr>
        <w:tc>
          <w:tcPr>
            <w:tcW w:w="707" w:type="dxa"/>
            <w:vMerge/>
            <w:vAlign w:val="center"/>
            <w:hideMark/>
          </w:tcPr>
          <w:p w14:paraId="17CFACE6" w14:textId="77777777" w:rsidR="00E84B99" w:rsidRPr="006849EE" w:rsidRDefault="00E84B99">
            <w:pPr>
              <w:spacing w:line="288" w:lineRule="auto"/>
              <w:rPr>
                <w:rFonts w:asciiTheme="majorHAnsi" w:eastAsia="Book Antiqua" w:hAnsiTheme="majorHAnsi" w:cs="Book Antiqua"/>
                <w:kern w:val="2"/>
                <w:sz w:val="14"/>
                <w:szCs w:val="14"/>
                <w:lang w:eastAsia="ja-JP"/>
                <w14:ligatures w14:val="standardContextual"/>
              </w:rPr>
            </w:pPr>
          </w:p>
        </w:tc>
        <w:tc>
          <w:tcPr>
            <w:tcW w:w="442" w:type="dxa"/>
            <w:vMerge/>
            <w:vAlign w:val="center"/>
            <w:hideMark/>
          </w:tcPr>
          <w:p w14:paraId="1528B99E" w14:textId="77777777" w:rsidR="00E84B99" w:rsidRPr="006849EE" w:rsidRDefault="00E84B99">
            <w:pPr>
              <w:spacing w:line="288" w:lineRule="auto"/>
              <w:rPr>
                <w:rFonts w:asciiTheme="majorHAnsi" w:eastAsia="Book Antiqua" w:hAnsiTheme="majorHAnsi" w:cs="Book Antiqua"/>
                <w:kern w:val="2"/>
                <w:sz w:val="14"/>
                <w:szCs w:val="14"/>
                <w:lang w:eastAsia="ja-JP"/>
                <w14:ligatures w14:val="standardContextual"/>
              </w:rPr>
            </w:pPr>
          </w:p>
        </w:tc>
        <w:tc>
          <w:tcPr>
            <w:tcW w:w="565" w:type="dxa"/>
            <w:vMerge/>
            <w:vAlign w:val="center"/>
            <w:hideMark/>
          </w:tcPr>
          <w:p w14:paraId="56658F81" w14:textId="77777777" w:rsidR="00E84B99" w:rsidRPr="006849EE" w:rsidRDefault="00E84B99">
            <w:pPr>
              <w:spacing w:line="288" w:lineRule="auto"/>
              <w:rPr>
                <w:rFonts w:asciiTheme="majorHAnsi" w:eastAsia="Book Antiqua" w:hAnsiTheme="majorHAnsi" w:cs="Book Antiqua"/>
                <w:kern w:val="2"/>
                <w:sz w:val="14"/>
                <w:szCs w:val="14"/>
                <w:lang w:eastAsia="ja-JP"/>
                <w14:ligatures w14:val="standardContextual"/>
              </w:rPr>
            </w:pPr>
          </w:p>
        </w:tc>
        <w:tc>
          <w:tcPr>
            <w:tcW w:w="659" w:type="dxa"/>
            <w:vMerge/>
            <w:vAlign w:val="center"/>
            <w:hideMark/>
          </w:tcPr>
          <w:p w14:paraId="113F2F0B" w14:textId="77777777" w:rsidR="00E84B99" w:rsidRPr="006849EE" w:rsidRDefault="00E84B99">
            <w:pPr>
              <w:spacing w:line="288" w:lineRule="auto"/>
              <w:rPr>
                <w:rFonts w:asciiTheme="majorHAnsi" w:eastAsia="Book Antiqua" w:hAnsiTheme="majorHAnsi" w:cs="Book Antiqua"/>
                <w:kern w:val="2"/>
                <w:sz w:val="14"/>
                <w:szCs w:val="14"/>
                <w:lang w:eastAsia="ja-JP"/>
                <w14:ligatures w14:val="standardContextual"/>
              </w:rPr>
            </w:pP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FFC710B" w14:textId="77777777" w:rsidR="00E84B99" w:rsidRPr="006849EE" w:rsidRDefault="00E84B99">
            <w:pPr>
              <w:spacing w:before="100"/>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At PF of 0.90</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28987BD" w14:textId="77777777" w:rsidR="00E84B99" w:rsidRPr="006849EE" w:rsidRDefault="00E84B99">
            <w:pPr>
              <w:spacing w:before="100"/>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At PF of 0.97</w:t>
            </w:r>
          </w:p>
        </w:tc>
        <w:tc>
          <w:tcPr>
            <w:tcW w:w="1067" w:type="dxa"/>
            <w:vMerge/>
            <w:vAlign w:val="center"/>
            <w:hideMark/>
          </w:tcPr>
          <w:p w14:paraId="01294836" w14:textId="77777777" w:rsidR="00E84B99" w:rsidRPr="006849EE" w:rsidRDefault="00E84B99">
            <w:pPr>
              <w:spacing w:line="288" w:lineRule="auto"/>
              <w:rPr>
                <w:rFonts w:asciiTheme="majorHAnsi" w:eastAsia="Book Antiqua" w:hAnsiTheme="majorHAnsi" w:cs="Book Antiqua"/>
                <w:kern w:val="2"/>
                <w:sz w:val="14"/>
                <w:szCs w:val="14"/>
                <w:lang w:eastAsia="ja-JP"/>
                <w14:ligatures w14:val="standardContextual"/>
              </w:rPr>
            </w:pPr>
          </w:p>
        </w:tc>
        <w:tc>
          <w:tcPr>
            <w:tcW w:w="618" w:type="dxa"/>
            <w:vMerge/>
            <w:vAlign w:val="center"/>
            <w:hideMark/>
          </w:tcPr>
          <w:p w14:paraId="27C3FE55" w14:textId="77777777" w:rsidR="00E84B99" w:rsidRPr="006849EE" w:rsidRDefault="00E84B99">
            <w:pPr>
              <w:spacing w:line="288" w:lineRule="auto"/>
              <w:rPr>
                <w:rFonts w:asciiTheme="majorHAnsi" w:eastAsia="Book Antiqua" w:hAnsiTheme="majorHAnsi" w:cs="Book Antiqua"/>
                <w:kern w:val="2"/>
                <w:sz w:val="14"/>
                <w:szCs w:val="14"/>
                <w:lang w:eastAsia="ja-JP"/>
                <w14:ligatures w14:val="standardContextual"/>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500DDFF" w14:textId="77777777" w:rsidR="00E84B99" w:rsidRPr="006849EE" w:rsidRDefault="00E84B99">
            <w:pPr>
              <w:ind w:right="49"/>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Cr.)</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D5139D2" w14:textId="77777777" w:rsidR="00E84B99" w:rsidRPr="006849EE" w:rsidRDefault="00E84B99">
            <w:pPr>
              <w:ind w:right="-11"/>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Cr.)</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023F5A2"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Cr.)</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E931CDC"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Cr.)</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CC6ED51" w14:textId="77777777" w:rsidR="00E84B99" w:rsidRPr="006849EE" w:rsidRDefault="00E84B99">
            <w:pPr>
              <w:ind w:left="136" w:right="137"/>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Cr.)</w:t>
            </w:r>
          </w:p>
        </w:tc>
      </w:tr>
      <w:tr w:rsidR="006849EE" w:rsidRPr="006849EE" w14:paraId="35F09B70" w14:textId="77777777" w:rsidTr="006849EE">
        <w:trPr>
          <w:trHeight w:val="596"/>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7F6FA" w14:textId="77777777" w:rsidR="00E84B99" w:rsidRPr="006849EE" w:rsidRDefault="00E84B99">
            <w:pPr>
              <w:ind w:left="4" w:right="47" w:hanging="4"/>
              <w:jc w:val="center"/>
              <w:rPr>
                <w:rFonts w:asciiTheme="majorHAnsi" w:eastAsia="Book Antiqua" w:hAnsiTheme="majorHAnsi" w:cs="Book Antiqua"/>
                <w:kern w:val="2"/>
                <w:sz w:val="14"/>
                <w:szCs w:val="14"/>
                <w14:ligatures w14:val="standardContextual"/>
              </w:rPr>
            </w:pPr>
          </w:p>
        </w:tc>
        <w:tc>
          <w:tcPr>
            <w:tcW w:w="4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AC3DD" w14:textId="77777777" w:rsidR="00E84B99" w:rsidRPr="006849EE" w:rsidRDefault="00E84B99" w:rsidP="661F2D61">
            <w:pPr>
              <w:ind w:left="83" w:right="-116"/>
              <w:jc w:val="center"/>
              <w:rPr>
                <w:rFonts w:asciiTheme="majorHAnsi" w:eastAsia="Book Antiqua" w:hAnsiTheme="majorHAnsi" w:cs="Book Antiqua"/>
                <w:kern w:val="2"/>
                <w:sz w:val="14"/>
                <w:szCs w:val="14"/>
                <w14:ligatures w14:val="standardContextual"/>
              </w:rPr>
            </w:pP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D8D677" w14:textId="77777777" w:rsidR="00E84B99" w:rsidRPr="006849EE" w:rsidRDefault="00E84B99">
            <w:pPr>
              <w:ind w:left="52"/>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(K)</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A883A0" w14:textId="77777777" w:rsidR="00E84B99" w:rsidRPr="006849EE" w:rsidRDefault="00E84B99">
            <w:pPr>
              <w:ind w:right="21"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(A)</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E564A"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(B)=A/0.90</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D0FB19"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(C) =A/0.97</w:t>
            </w:r>
          </w:p>
        </w:tc>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3DB9FC"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D</w:t>
            </w: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14D275" w14:textId="77777777" w:rsidR="00E84B99" w:rsidRPr="006849EE" w:rsidRDefault="00E84B99">
            <w:pPr>
              <w:ind w:left="7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DAD183" w14:textId="77777777" w:rsidR="00E84B99" w:rsidRPr="006849EE" w:rsidRDefault="00E84B99">
            <w:pPr>
              <w:ind w:right="49"/>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F=(K*D*12/10^4)</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A43D91" w14:textId="77777777" w:rsidR="00E84B99" w:rsidRPr="006849EE" w:rsidRDefault="00E84B99">
            <w:pPr>
              <w:ind w:right="-11"/>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G=E*B/10</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DADF9C"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H=E*C/10</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C127C8"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I=F+G</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2001C5" w14:textId="77777777" w:rsidR="00E84B99" w:rsidRPr="006849EE" w:rsidRDefault="00E84B99">
            <w:pPr>
              <w:ind w:left="136" w:right="137"/>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J=F+H</w:t>
            </w:r>
          </w:p>
        </w:tc>
      </w:tr>
      <w:tr w:rsidR="006849EE" w:rsidRPr="006849EE" w14:paraId="316C8EF7" w14:textId="77777777" w:rsidTr="006849EE">
        <w:trPr>
          <w:trHeight w:val="42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87EC5B" w14:textId="77777777" w:rsidR="00E84B99" w:rsidRPr="006849EE" w:rsidRDefault="00E84B99">
            <w:pPr>
              <w:ind w:left="4" w:right="47"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 xml:space="preserve">LT* </w:t>
            </w:r>
            <w:proofErr w:type="spellStart"/>
            <w:r w:rsidRPr="006849EE">
              <w:rPr>
                <w:rFonts w:asciiTheme="majorHAnsi" w:eastAsia="Book Antiqua" w:hAnsiTheme="majorHAnsi" w:cs="Book Antiqua"/>
                <w:kern w:val="2"/>
                <w:sz w:val="14"/>
                <w:szCs w:val="14"/>
                <w14:ligatures w14:val="standardContextual"/>
              </w:rPr>
              <w:t>Comml</w:t>
            </w:r>
            <w:proofErr w:type="spellEnd"/>
            <w:r w:rsidRPr="006849EE">
              <w:rPr>
                <w:rFonts w:asciiTheme="majorHAnsi" w:eastAsia="Book Antiqua" w:hAnsiTheme="majorHAnsi" w:cs="Book Antiqua"/>
                <w:kern w:val="2"/>
                <w:sz w:val="14"/>
                <w:szCs w:val="14"/>
                <w14:ligatures w14:val="standardContextual"/>
              </w:rPr>
              <w:t>.</w:t>
            </w:r>
          </w:p>
        </w:tc>
        <w:tc>
          <w:tcPr>
            <w:tcW w:w="4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342A3" w14:textId="77777777" w:rsidR="00E84B99" w:rsidRPr="006849EE" w:rsidRDefault="00E84B99" w:rsidP="00B42FF0">
            <w:pPr>
              <w:ind w:left="83" w:right="-138"/>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5</w:t>
            </w: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A05069" w14:textId="77777777" w:rsidR="00E84B99" w:rsidRPr="006849EE" w:rsidRDefault="00E84B99">
            <w:pPr>
              <w:ind w:left="52"/>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78.3</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39CD40" w14:textId="77777777" w:rsidR="00E84B99" w:rsidRPr="006849EE" w:rsidRDefault="00E84B99">
            <w:pPr>
              <w:ind w:right="21"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41.2</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83C287"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45.7</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CA8A50"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42.4</w:t>
            </w:r>
          </w:p>
        </w:tc>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28EDA9"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150/kW/Month</w:t>
            </w: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325AFD" w14:textId="77777777" w:rsidR="00E84B99" w:rsidRPr="006849EE" w:rsidRDefault="00E84B99">
            <w:pPr>
              <w:ind w:left="7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4.30/ kWh</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D979A5" w14:textId="77777777" w:rsidR="00E84B99" w:rsidRPr="006849EE" w:rsidRDefault="00E84B99">
            <w:pPr>
              <w:ind w:right="49"/>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14.1</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1C91B3" w14:textId="6509B765" w:rsidR="00E84B99" w:rsidRPr="006849EE" w:rsidRDefault="00E84B99">
            <w:pPr>
              <w:ind w:right="-11"/>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17.7</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0E42F0"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17.7</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2AD2E4"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E96FA2" w14:textId="77777777" w:rsidR="00E84B99" w:rsidRPr="006849EE" w:rsidRDefault="00E84B99">
            <w:pPr>
              <w:ind w:left="136" w:right="137"/>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31.80</w:t>
            </w:r>
          </w:p>
        </w:tc>
      </w:tr>
      <w:tr w:rsidR="006849EE" w:rsidRPr="006849EE" w14:paraId="135CF71E" w14:textId="77777777" w:rsidTr="006849EE">
        <w:trPr>
          <w:trHeight w:val="42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B56FE6" w14:textId="77777777" w:rsidR="00E84B99" w:rsidRPr="006849EE" w:rsidRDefault="00E84B99">
            <w:pPr>
              <w:ind w:left="4" w:right="47"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HT Supply</w:t>
            </w:r>
          </w:p>
        </w:tc>
        <w:tc>
          <w:tcPr>
            <w:tcW w:w="4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92A00C" w14:textId="77777777" w:rsidR="00E84B99" w:rsidRPr="006849EE" w:rsidRDefault="00E84B99" w:rsidP="00B42FF0">
            <w:pPr>
              <w:ind w:right="-138"/>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235</w:t>
            </w: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12CFDD" w14:textId="77777777" w:rsidR="00E84B99" w:rsidRPr="006849EE" w:rsidRDefault="00E84B99">
            <w:pPr>
              <w:ind w:left="52"/>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1270.1</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BD3383" w14:textId="77777777" w:rsidR="00E84B99" w:rsidRPr="006849EE" w:rsidRDefault="00E84B99">
            <w:pPr>
              <w:ind w:right="21"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7101.1</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6E2DD0"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7890.2</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05CE7"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7320.8</w:t>
            </w:r>
          </w:p>
        </w:tc>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58E9AD"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400/kVA/Month</w:t>
            </w: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970EF" w14:textId="77777777" w:rsidR="00E84B99" w:rsidRPr="006849EE" w:rsidRDefault="00E84B99">
            <w:pPr>
              <w:ind w:left="7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 xml:space="preserve">Rs. 4.05/ </w:t>
            </w:r>
            <w:proofErr w:type="spellStart"/>
            <w:r w:rsidRPr="006849EE">
              <w:rPr>
                <w:rFonts w:asciiTheme="majorHAnsi" w:eastAsia="Book Antiqua" w:hAnsiTheme="majorHAnsi" w:cs="Book Antiqua"/>
                <w:kern w:val="2"/>
                <w:sz w:val="14"/>
                <w:szCs w:val="14"/>
                <w14:ligatures w14:val="standardContextual"/>
              </w:rPr>
              <w:t>kVAh</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3E478E" w14:textId="77777777" w:rsidR="00E84B99" w:rsidRPr="006849EE" w:rsidRDefault="00E84B99">
            <w:pPr>
              <w:ind w:right="49"/>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609.7</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4BFE69" w14:textId="77777777" w:rsidR="00E84B99" w:rsidRPr="006849EE" w:rsidRDefault="00E84B99">
            <w:pPr>
              <w:ind w:right="-11"/>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3195.5</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6BC43A"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2964.9</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53ED37"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3805.2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C03278" w14:textId="77777777" w:rsidR="00E84B99" w:rsidRPr="006849EE" w:rsidRDefault="00E84B99">
            <w:pPr>
              <w:ind w:left="136" w:right="137"/>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3574.6</w:t>
            </w:r>
          </w:p>
        </w:tc>
      </w:tr>
      <w:tr w:rsidR="006849EE" w:rsidRPr="006849EE" w14:paraId="7ECE5893" w14:textId="77777777" w:rsidTr="006849EE">
        <w:trPr>
          <w:trHeight w:val="42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810559" w14:textId="77777777" w:rsidR="00E84B99" w:rsidRPr="006849EE" w:rsidRDefault="00E84B99">
            <w:pPr>
              <w:ind w:left="4" w:right="47" w:hanging="4"/>
              <w:jc w:val="center"/>
              <w:rPr>
                <w:rFonts w:asciiTheme="majorHAnsi" w:eastAsia="Book Antiqua" w:hAnsiTheme="majorHAnsi" w:cs="Book Antiqua"/>
                <w:kern w:val="2"/>
                <w:sz w:val="14"/>
                <w:szCs w:val="14"/>
                <w14:ligatures w14:val="standardContextual"/>
              </w:rPr>
            </w:pPr>
            <w:proofErr w:type="gramStart"/>
            <w:r w:rsidRPr="006849EE">
              <w:rPr>
                <w:rFonts w:asciiTheme="majorHAnsi" w:eastAsia="Book Antiqua" w:hAnsiTheme="majorHAnsi" w:cs="Book Antiqua"/>
                <w:kern w:val="2"/>
                <w:sz w:val="14"/>
                <w:szCs w:val="14"/>
                <w14:ligatures w14:val="standardContextual"/>
              </w:rPr>
              <w:t>Trac./</w:t>
            </w:r>
            <w:proofErr w:type="gramEnd"/>
          </w:p>
          <w:p w14:paraId="20B7242A" w14:textId="77777777" w:rsidR="00E84B99" w:rsidRPr="006849EE" w:rsidRDefault="00E84B99">
            <w:pPr>
              <w:ind w:left="4" w:right="47"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Lic.</w:t>
            </w:r>
          </w:p>
        </w:tc>
        <w:tc>
          <w:tcPr>
            <w:tcW w:w="4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F32A6A" w14:textId="77777777" w:rsidR="00E84B99" w:rsidRPr="006849EE" w:rsidRDefault="00E84B99" w:rsidP="00B42FF0">
            <w:pPr>
              <w:ind w:right="-138"/>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12</w:t>
            </w: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AEDF1B" w14:textId="77777777" w:rsidR="00E84B99" w:rsidRPr="006849EE" w:rsidRDefault="00E84B99">
            <w:pPr>
              <w:ind w:left="52"/>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566.0</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B1C3EE" w14:textId="77777777" w:rsidR="00E84B99" w:rsidRPr="006849EE" w:rsidRDefault="00E84B99">
            <w:pPr>
              <w:ind w:right="21" w:hanging="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3157.1</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B67958"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3507.9</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5A16C9"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3254.7</w:t>
            </w:r>
          </w:p>
        </w:tc>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28F390" w14:textId="77777777" w:rsidR="00E84B99" w:rsidRPr="006849EE" w:rsidRDefault="00E84B99">
            <w:pPr>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400/kVA/Month</w:t>
            </w: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14AD4A" w14:textId="77777777" w:rsidR="00E84B99" w:rsidRPr="006849EE" w:rsidRDefault="00E84B99">
            <w:pPr>
              <w:ind w:left="74"/>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Rs. 3.70 /</w:t>
            </w:r>
            <w:proofErr w:type="spellStart"/>
            <w:r w:rsidRPr="006849EE">
              <w:rPr>
                <w:rFonts w:asciiTheme="majorHAnsi" w:eastAsia="Book Antiqua" w:hAnsiTheme="majorHAnsi" w:cs="Book Antiqua"/>
                <w:kern w:val="2"/>
                <w:sz w:val="14"/>
                <w:szCs w:val="14"/>
                <w14:ligatures w14:val="standardContextual"/>
              </w:rPr>
              <w:t>kVAh</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48986C" w14:textId="77777777" w:rsidR="00E84B99" w:rsidRPr="006849EE" w:rsidRDefault="00E84B99">
            <w:pPr>
              <w:ind w:right="49"/>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271.7</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0C24FA" w14:textId="77777777" w:rsidR="00E84B99" w:rsidRPr="006849EE" w:rsidRDefault="00E84B99">
            <w:pPr>
              <w:ind w:right="-11"/>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1297.9</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F35812"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1204.3</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868ECB" w14:textId="77777777" w:rsidR="00E84B99" w:rsidRPr="006849EE" w:rsidRDefault="00E84B99">
            <w:pPr>
              <w:ind w:left="41" w:right="-6"/>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1569.6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20DD15" w14:textId="77777777" w:rsidR="00E84B99" w:rsidRPr="006849EE" w:rsidRDefault="00E84B99">
            <w:pPr>
              <w:ind w:left="136" w:right="137"/>
              <w:jc w:val="center"/>
              <w:rPr>
                <w:rFonts w:asciiTheme="majorHAnsi" w:eastAsia="Book Antiqua" w:hAnsiTheme="majorHAnsi" w:cs="Book Antiqua"/>
                <w:kern w:val="2"/>
                <w:sz w:val="14"/>
                <w:szCs w:val="14"/>
                <w14:ligatures w14:val="standardContextual"/>
              </w:rPr>
            </w:pPr>
            <w:r w:rsidRPr="006849EE">
              <w:rPr>
                <w:rFonts w:asciiTheme="majorHAnsi" w:eastAsia="Book Antiqua" w:hAnsiTheme="majorHAnsi" w:cs="Book Antiqua"/>
                <w:kern w:val="2"/>
                <w:sz w:val="14"/>
                <w:szCs w:val="14"/>
                <w14:ligatures w14:val="standardContextual"/>
              </w:rPr>
              <w:t>1475.96</w:t>
            </w:r>
          </w:p>
        </w:tc>
      </w:tr>
      <w:tr w:rsidR="00703917" w:rsidRPr="006849EE" w14:paraId="4FC233D4" w14:textId="77777777" w:rsidTr="006849EE">
        <w:trPr>
          <w:trHeight w:val="231"/>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D28F976" w14:textId="77777777" w:rsidR="00E84B99" w:rsidRPr="006849EE" w:rsidRDefault="00E84B99">
            <w:pPr>
              <w:ind w:left="4" w:right="47" w:hanging="4"/>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Total</w:t>
            </w:r>
          </w:p>
        </w:tc>
        <w:tc>
          <w:tcPr>
            <w:tcW w:w="4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37F6F9A9" w14:textId="77777777" w:rsidR="00E84B99" w:rsidRPr="006849EE" w:rsidRDefault="00E84B99" w:rsidP="00216D6C">
            <w:pPr>
              <w:ind w:right="-138"/>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252</w:t>
            </w: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18D4A169" w14:textId="77777777" w:rsidR="00E84B99" w:rsidRPr="006849EE" w:rsidRDefault="00E84B99">
            <w:pPr>
              <w:ind w:left="52"/>
              <w:jc w:val="center"/>
              <w:rPr>
                <w:rFonts w:asciiTheme="majorHAnsi" w:eastAsia="Book Antiqua" w:hAnsiTheme="majorHAnsi" w:cs="Book Antiqua"/>
                <w:b/>
                <w:kern w:val="2"/>
                <w:sz w:val="14"/>
                <w:szCs w:val="14"/>
                <w14:ligatures w14:val="standardContextual"/>
              </w:rPr>
            </w:pPr>
            <w:r w:rsidRPr="006849EE">
              <w:rPr>
                <w:rFonts w:asciiTheme="majorHAnsi" w:hAnsiTheme="majorHAnsi" w:cs="Times New Roman"/>
                <w:b/>
                <w:kern w:val="2"/>
                <w:sz w:val="14"/>
                <w:szCs w:val="14"/>
                <w14:ligatures w14:val="standardContextual"/>
              </w:rPr>
              <w:t>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30410AE5" w14:textId="77777777" w:rsidR="00E84B99" w:rsidRPr="006849EE" w:rsidRDefault="00E84B99">
            <w:pPr>
              <w:ind w:left="68" w:right="21" w:hanging="68"/>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10299.5</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A4BAD30" w14:textId="77777777" w:rsidR="00E84B99" w:rsidRPr="006849EE" w:rsidRDefault="00E84B99">
            <w:pPr>
              <w:jc w:val="center"/>
              <w:rPr>
                <w:rFonts w:asciiTheme="majorHAnsi" w:hAnsiTheme="majorHAnsi" w:cs="Times New Roman"/>
                <w:b/>
                <w:kern w:val="2"/>
                <w:sz w:val="14"/>
                <w:szCs w:val="14"/>
                <w14:ligatures w14:val="standardContextual"/>
              </w:rPr>
            </w:pPr>
            <w:r w:rsidRPr="006849EE">
              <w:rPr>
                <w:rFonts w:asciiTheme="majorHAnsi" w:hAnsiTheme="majorHAnsi" w:cs="Times New Roman"/>
                <w:b/>
                <w:kern w:val="2"/>
                <w:sz w:val="14"/>
                <w:szCs w:val="14"/>
                <w14:ligatures w14:val="standardContextual"/>
              </w:rPr>
              <w:t>11443.8</w:t>
            </w:r>
          </w:p>
        </w:tc>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543FD48A" w14:textId="77777777" w:rsidR="00E84B99" w:rsidRPr="006849EE" w:rsidRDefault="00E84B99">
            <w:pPr>
              <w:jc w:val="center"/>
              <w:rPr>
                <w:rFonts w:asciiTheme="majorHAnsi" w:hAnsiTheme="majorHAnsi" w:cs="Times New Roman"/>
                <w:b/>
                <w:kern w:val="2"/>
                <w:sz w:val="14"/>
                <w:szCs w:val="14"/>
                <w14:ligatures w14:val="standardContextual"/>
              </w:rPr>
            </w:pPr>
            <w:r w:rsidRPr="006849EE">
              <w:rPr>
                <w:rFonts w:asciiTheme="majorHAnsi" w:hAnsiTheme="majorHAnsi" w:cs="Times New Roman"/>
                <w:b/>
                <w:kern w:val="2"/>
                <w:sz w:val="14"/>
                <w:szCs w:val="14"/>
                <w14:ligatures w14:val="standardContextual"/>
              </w:rPr>
              <w:t>10617.9</w:t>
            </w:r>
          </w:p>
        </w:tc>
        <w:tc>
          <w:tcPr>
            <w:tcW w:w="16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2FC9A4A0" w14:textId="77777777" w:rsidR="00E84B99" w:rsidRPr="006849EE" w:rsidRDefault="00E84B99">
            <w:pPr>
              <w:jc w:val="center"/>
              <w:rPr>
                <w:rFonts w:asciiTheme="majorHAnsi" w:eastAsia="Book Antiqua" w:hAnsiTheme="majorHAnsi" w:cs="Book Antiqua"/>
                <w:b/>
                <w:kern w:val="2"/>
                <w:sz w:val="14"/>
                <w:szCs w:val="14"/>
                <w14:ligatures w14:val="standardContextual"/>
              </w:rPr>
            </w:pPr>
            <w:r w:rsidRPr="006849EE">
              <w:rPr>
                <w:rFonts w:asciiTheme="majorHAnsi" w:hAnsiTheme="majorHAnsi" w:cs="Times New Roman"/>
                <w:b/>
                <w:kern w:val="2"/>
                <w:sz w:val="14"/>
                <w:szCs w:val="14"/>
                <w14:ligatures w14:val="standardContextual"/>
              </w:rPr>
              <w:t> </w:t>
            </w:r>
          </w:p>
          <w:p w14:paraId="65BD5694" w14:textId="77777777" w:rsidR="00E84B99" w:rsidRPr="006849EE" w:rsidRDefault="00E84B99">
            <w:pPr>
              <w:ind w:left="74" w:right="152"/>
              <w:jc w:val="center"/>
              <w:rPr>
                <w:rFonts w:asciiTheme="majorHAnsi" w:eastAsia="Book Antiqua" w:hAnsiTheme="majorHAnsi" w:cs="Book Antiqua"/>
                <w:b/>
                <w:kern w:val="2"/>
                <w:sz w:val="14"/>
                <w:szCs w:val="14"/>
                <w14:ligatures w14:val="standardContextual"/>
              </w:rPr>
            </w:pPr>
            <w:r w:rsidRPr="006849EE">
              <w:rPr>
                <w:rFonts w:asciiTheme="majorHAnsi" w:hAnsiTheme="majorHAnsi" w:cs="Times New Roman"/>
                <w:b/>
                <w:kern w:val="2"/>
                <w:sz w:val="14"/>
                <w:szCs w:val="14"/>
                <w14:ligatures w14:val="standardContextual"/>
              </w:rPr>
              <w:t>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2BAF5E68" w14:textId="77777777" w:rsidR="00E84B99" w:rsidRPr="006849EE" w:rsidRDefault="00E84B99">
            <w:pPr>
              <w:ind w:right="49"/>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895.4</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1C5922D" w14:textId="77777777" w:rsidR="00E84B99" w:rsidRPr="006849EE" w:rsidRDefault="00E84B99">
            <w:pPr>
              <w:ind w:left="81" w:right="-11"/>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4511.2</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13858C63" w14:textId="77777777" w:rsidR="00E84B99" w:rsidRPr="006849EE" w:rsidRDefault="00E84B99">
            <w:pPr>
              <w:ind w:left="41" w:right="-6"/>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4186.9</w:t>
            </w:r>
          </w:p>
        </w:tc>
        <w:tc>
          <w:tcPr>
            <w:tcW w:w="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56762C0" w14:textId="77777777" w:rsidR="00E84B99" w:rsidRPr="006849EE" w:rsidRDefault="00E84B99">
            <w:pPr>
              <w:ind w:left="41" w:right="-6"/>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5406.6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6A440D61" w14:textId="77777777" w:rsidR="00E84B99" w:rsidRPr="006849EE" w:rsidRDefault="00E84B99">
            <w:pPr>
              <w:ind w:left="136" w:right="137"/>
              <w:jc w:val="center"/>
              <w:rPr>
                <w:rFonts w:asciiTheme="majorHAnsi" w:eastAsia="Book Antiqua" w:hAnsiTheme="majorHAnsi" w:cs="Book Antiqua"/>
                <w:b/>
                <w:kern w:val="2"/>
                <w:sz w:val="14"/>
                <w:szCs w:val="14"/>
                <w14:ligatures w14:val="standardContextual"/>
              </w:rPr>
            </w:pPr>
            <w:r w:rsidRPr="006849EE">
              <w:rPr>
                <w:rFonts w:asciiTheme="majorHAnsi" w:eastAsia="Book Antiqua" w:hAnsiTheme="majorHAnsi" w:cs="Book Antiqua"/>
                <w:b/>
                <w:kern w:val="2"/>
                <w:sz w:val="14"/>
                <w:szCs w:val="14"/>
                <w14:ligatures w14:val="standardContextual"/>
              </w:rPr>
              <w:t>5082.3</w:t>
            </w:r>
          </w:p>
        </w:tc>
      </w:tr>
    </w:tbl>
    <w:p w14:paraId="684B33F0" w14:textId="77777777" w:rsidR="00E84B99" w:rsidRPr="006849EE" w:rsidRDefault="00E84B99" w:rsidP="00ED752B">
      <w:pPr>
        <w:pStyle w:val="ListParagraph"/>
        <w:ind w:left="1080"/>
        <w:jc w:val="both"/>
        <w:rPr>
          <w:rFonts w:asciiTheme="majorHAnsi" w:eastAsiaTheme="minorEastAsia" w:hAnsiTheme="majorHAnsi" w:cstheme="minorBidi"/>
          <w:color w:val="auto"/>
          <w:sz w:val="24"/>
          <w:szCs w:val="24"/>
          <w:lang w:val="en-IN" w:eastAsia="ja-JP"/>
        </w:rPr>
      </w:pPr>
    </w:p>
    <w:p w14:paraId="3A097967" w14:textId="634F4B8C" w:rsidR="00E84B99" w:rsidRPr="006849EE" w:rsidRDefault="00E84B99" w:rsidP="170D95C2">
      <w:pPr>
        <w:numPr>
          <w:ilvl w:val="0"/>
          <w:numId w:val="1"/>
        </w:numPr>
        <w:tabs>
          <w:tab w:val="clear" w:pos="1080"/>
          <w:tab w:val="num" w:pos="735"/>
        </w:tabs>
        <w:spacing w:line="360" w:lineRule="auto"/>
        <w:ind w:left="734" w:hanging="735"/>
        <w:jc w:val="both"/>
        <w:rPr>
          <w:rFonts w:asciiTheme="majorHAnsi" w:hAnsiTheme="majorHAnsi"/>
          <w:sz w:val="24"/>
          <w:szCs w:val="24"/>
          <w:lang w:val="en-IN"/>
        </w:rPr>
      </w:pPr>
      <w:r w:rsidRPr="006849EE">
        <w:rPr>
          <w:rFonts w:asciiTheme="majorHAnsi" w:hAnsiTheme="majorHAnsi"/>
          <w:sz w:val="24"/>
          <w:szCs w:val="24"/>
          <w:lang w:val="en-IN"/>
        </w:rPr>
        <w:lastRenderedPageBreak/>
        <w:t xml:space="preserve">On </w:t>
      </w:r>
      <w:r w:rsidRPr="006849EE">
        <w:rPr>
          <w:rFonts w:asciiTheme="majorHAnsi" w:hAnsiTheme="majorHAnsi" w:cs="Arial"/>
          <w:color w:val="auto"/>
          <w:sz w:val="24"/>
          <w:szCs w:val="24"/>
        </w:rPr>
        <w:t>scrutiny</w:t>
      </w:r>
      <w:r w:rsidRPr="006849EE">
        <w:rPr>
          <w:rFonts w:asciiTheme="majorHAnsi" w:hAnsiTheme="majorHAnsi"/>
          <w:sz w:val="24"/>
          <w:szCs w:val="24"/>
          <w:lang w:val="en-IN"/>
        </w:rPr>
        <w:t xml:space="preserve"> of the above it is apparent from the table that </w:t>
      </w:r>
      <w:r w:rsidR="00171E69" w:rsidRPr="006849EE">
        <w:rPr>
          <w:rFonts w:asciiTheme="majorHAnsi" w:hAnsiTheme="majorHAnsi"/>
          <w:sz w:val="24"/>
          <w:szCs w:val="24"/>
          <w:lang w:val="en-IN"/>
        </w:rPr>
        <w:t>w</w:t>
      </w:r>
      <w:r w:rsidRPr="006849EE">
        <w:rPr>
          <w:rFonts w:asciiTheme="majorHAnsi" w:hAnsiTheme="majorHAnsi"/>
          <w:sz w:val="24"/>
          <w:szCs w:val="24"/>
          <w:lang w:val="en-IN"/>
        </w:rPr>
        <w:t>hile converting the real energy (in kWh) to apparent energy (</w:t>
      </w:r>
      <w:proofErr w:type="spellStart"/>
      <w:r w:rsidRPr="006849EE">
        <w:rPr>
          <w:rFonts w:asciiTheme="majorHAnsi" w:hAnsiTheme="majorHAnsi"/>
          <w:sz w:val="24"/>
          <w:szCs w:val="24"/>
          <w:lang w:val="en-IN"/>
        </w:rPr>
        <w:t>kVAh</w:t>
      </w:r>
      <w:proofErr w:type="spellEnd"/>
      <w:r w:rsidRPr="006849EE">
        <w:rPr>
          <w:rFonts w:asciiTheme="majorHAnsi" w:hAnsiTheme="majorHAnsi"/>
          <w:sz w:val="24"/>
          <w:szCs w:val="24"/>
          <w:lang w:val="en-IN"/>
        </w:rPr>
        <w:t xml:space="preserve">), this Hon’ble Commission has considered arbitrarily the average power factor as 0.90 whereas the actual average power factor of DVC in past few years is hovering around 0.97 to </w:t>
      </w:r>
      <w:r w:rsidR="006A0436" w:rsidRPr="006849EE">
        <w:rPr>
          <w:rFonts w:asciiTheme="majorHAnsi" w:hAnsiTheme="majorHAnsi"/>
          <w:sz w:val="24"/>
          <w:szCs w:val="24"/>
          <w:lang w:val="en-IN"/>
        </w:rPr>
        <w:t>0.98.</w:t>
      </w:r>
      <w:r w:rsidRPr="006849EE">
        <w:rPr>
          <w:rFonts w:asciiTheme="majorHAnsi" w:hAnsiTheme="majorHAnsi"/>
          <w:sz w:val="24"/>
          <w:szCs w:val="24"/>
          <w:lang w:val="en-IN"/>
        </w:rPr>
        <w:t xml:space="preserve"> It is clear from the above table that revenue at existing tariff would have been reduced by around Rs. 325 </w:t>
      </w:r>
      <w:proofErr w:type="spellStart"/>
      <w:r w:rsidRPr="006849EE">
        <w:rPr>
          <w:rFonts w:asciiTheme="majorHAnsi" w:hAnsiTheme="majorHAnsi"/>
          <w:sz w:val="24"/>
          <w:szCs w:val="24"/>
          <w:lang w:val="en-IN"/>
        </w:rPr>
        <w:t>Crs</w:t>
      </w:r>
      <w:proofErr w:type="spellEnd"/>
      <w:r w:rsidRPr="006849EE">
        <w:rPr>
          <w:rFonts w:asciiTheme="majorHAnsi" w:hAnsiTheme="majorHAnsi"/>
          <w:sz w:val="24"/>
          <w:szCs w:val="24"/>
          <w:lang w:val="en-IN"/>
        </w:rPr>
        <w:t xml:space="preserve">., had the computation been made based on the actual power factor of 0.97 in place of </w:t>
      </w:r>
      <w:r w:rsidR="006A0436" w:rsidRPr="006849EE">
        <w:rPr>
          <w:rFonts w:asciiTheme="majorHAnsi" w:hAnsiTheme="majorHAnsi"/>
          <w:sz w:val="24"/>
          <w:szCs w:val="24"/>
          <w:lang w:val="en-IN"/>
        </w:rPr>
        <w:t>0.90.</w:t>
      </w:r>
      <w:r w:rsidR="486AD239" w:rsidRPr="006849EE">
        <w:rPr>
          <w:rFonts w:asciiTheme="majorHAnsi" w:hAnsiTheme="majorHAnsi"/>
          <w:sz w:val="24"/>
          <w:szCs w:val="24"/>
          <w:lang w:val="en-IN"/>
        </w:rPr>
        <w:t xml:space="preserve"> </w:t>
      </w:r>
    </w:p>
    <w:p w14:paraId="28147BEB" w14:textId="6AE3CD46" w:rsidR="00E84B99" w:rsidRPr="006849EE" w:rsidRDefault="626BC7C3" w:rsidP="00FB18C1">
      <w:pPr>
        <w:numPr>
          <w:ilvl w:val="0"/>
          <w:numId w:val="1"/>
        </w:numPr>
        <w:tabs>
          <w:tab w:val="clear" w:pos="1080"/>
          <w:tab w:val="num" w:pos="735"/>
        </w:tabs>
        <w:spacing w:line="360" w:lineRule="auto"/>
        <w:ind w:left="734" w:hanging="735"/>
        <w:jc w:val="both"/>
        <w:rPr>
          <w:rFonts w:asciiTheme="majorHAnsi" w:hAnsiTheme="majorHAnsi"/>
          <w:sz w:val="24"/>
          <w:szCs w:val="24"/>
          <w:lang w:val="en-IN"/>
        </w:rPr>
      </w:pPr>
      <w:r w:rsidRPr="006849EE">
        <w:rPr>
          <w:rFonts w:asciiTheme="majorHAnsi" w:hAnsiTheme="majorHAnsi"/>
          <w:sz w:val="24"/>
          <w:szCs w:val="24"/>
          <w:lang w:val="en-IN"/>
        </w:rPr>
        <w:t>Further</w:t>
      </w:r>
      <w:r w:rsidR="72C0E930" w:rsidRPr="006849EE">
        <w:rPr>
          <w:rFonts w:asciiTheme="majorHAnsi" w:hAnsiTheme="majorHAnsi"/>
          <w:sz w:val="24"/>
          <w:szCs w:val="24"/>
          <w:lang w:val="en-IN"/>
        </w:rPr>
        <w:t xml:space="preserve"> to the above </w:t>
      </w:r>
      <w:r w:rsidR="486AD239" w:rsidRPr="006849EE">
        <w:rPr>
          <w:rFonts w:asciiTheme="majorHAnsi" w:hAnsiTheme="majorHAnsi"/>
          <w:sz w:val="24"/>
          <w:szCs w:val="24"/>
          <w:lang w:val="en-IN"/>
        </w:rPr>
        <w:t xml:space="preserve">as per the directives in the tariff orders </w:t>
      </w:r>
      <w:r w:rsidR="46877D7E" w:rsidRPr="006849EE">
        <w:rPr>
          <w:rFonts w:asciiTheme="majorHAnsi" w:hAnsiTheme="majorHAnsi"/>
          <w:sz w:val="24"/>
          <w:szCs w:val="24"/>
          <w:lang w:val="en-IN"/>
        </w:rPr>
        <w:t xml:space="preserve">of </w:t>
      </w:r>
      <w:r w:rsidR="486AD239" w:rsidRPr="006849EE">
        <w:rPr>
          <w:rFonts w:asciiTheme="majorHAnsi" w:hAnsiTheme="majorHAnsi"/>
          <w:sz w:val="24"/>
          <w:szCs w:val="24"/>
          <w:lang w:val="en-IN"/>
        </w:rPr>
        <w:t>DVC</w:t>
      </w:r>
      <w:r w:rsidR="53E72075" w:rsidRPr="006849EE">
        <w:rPr>
          <w:rFonts w:asciiTheme="majorHAnsi" w:hAnsiTheme="majorHAnsi"/>
          <w:sz w:val="24"/>
          <w:szCs w:val="24"/>
          <w:lang w:val="en-IN"/>
        </w:rPr>
        <w:t xml:space="preserve">, </w:t>
      </w:r>
      <w:r w:rsidR="1977BECE" w:rsidRPr="006849EE">
        <w:rPr>
          <w:rFonts w:asciiTheme="majorHAnsi" w:hAnsiTheme="majorHAnsi"/>
          <w:sz w:val="24"/>
          <w:szCs w:val="24"/>
          <w:lang w:val="en-IN"/>
        </w:rPr>
        <w:t>DVC is</w:t>
      </w:r>
      <w:r w:rsidR="486AD239" w:rsidRPr="006849EE">
        <w:rPr>
          <w:rFonts w:asciiTheme="majorHAnsi" w:hAnsiTheme="majorHAnsi"/>
          <w:sz w:val="24"/>
          <w:szCs w:val="24"/>
          <w:lang w:val="en-IN"/>
        </w:rPr>
        <w:t xml:space="preserve"> providing</w:t>
      </w:r>
      <w:r w:rsidR="2C0B6B75" w:rsidRPr="006849EE">
        <w:rPr>
          <w:rFonts w:asciiTheme="majorHAnsi" w:hAnsiTheme="majorHAnsi"/>
          <w:sz w:val="24"/>
          <w:szCs w:val="24"/>
          <w:lang w:val="en-IN"/>
        </w:rPr>
        <w:t xml:space="preserve"> its </w:t>
      </w:r>
      <w:r w:rsidR="31E7D5E2" w:rsidRPr="006849EE">
        <w:rPr>
          <w:rFonts w:asciiTheme="majorHAnsi" w:hAnsiTheme="majorHAnsi"/>
          <w:sz w:val="24"/>
          <w:szCs w:val="24"/>
          <w:lang w:val="en-IN"/>
        </w:rPr>
        <w:t xml:space="preserve">consumers a </w:t>
      </w:r>
      <w:r w:rsidR="5391DE87" w:rsidRPr="006849EE">
        <w:rPr>
          <w:rFonts w:asciiTheme="majorHAnsi" w:hAnsiTheme="majorHAnsi"/>
          <w:sz w:val="24"/>
          <w:szCs w:val="24"/>
          <w:lang w:val="en-IN"/>
        </w:rPr>
        <w:t>l</w:t>
      </w:r>
      <w:r w:rsidR="486AD239" w:rsidRPr="006849EE">
        <w:rPr>
          <w:rFonts w:asciiTheme="majorHAnsi" w:hAnsiTheme="majorHAnsi"/>
          <w:sz w:val="24"/>
          <w:szCs w:val="24"/>
          <w:lang w:val="en-IN"/>
        </w:rPr>
        <w:t xml:space="preserve">oad Factor Rebate </w:t>
      </w:r>
      <w:r w:rsidR="5BB93A0A" w:rsidRPr="006849EE">
        <w:rPr>
          <w:rFonts w:asciiTheme="majorHAnsi" w:hAnsiTheme="majorHAnsi"/>
          <w:sz w:val="24"/>
          <w:szCs w:val="24"/>
          <w:lang w:val="en-IN"/>
        </w:rPr>
        <w:t xml:space="preserve">of a significant amount as a percentage of the energy charge </w:t>
      </w:r>
      <w:r w:rsidR="279D522F" w:rsidRPr="006849EE">
        <w:rPr>
          <w:rFonts w:asciiTheme="majorHAnsi" w:hAnsiTheme="majorHAnsi"/>
          <w:sz w:val="24"/>
          <w:szCs w:val="24"/>
          <w:lang w:val="en-IN"/>
        </w:rPr>
        <w:t>rate, in</w:t>
      </w:r>
      <w:r w:rsidR="24BDC96B" w:rsidRPr="006849EE">
        <w:rPr>
          <w:rFonts w:asciiTheme="majorHAnsi" w:hAnsiTheme="majorHAnsi"/>
          <w:sz w:val="24"/>
          <w:szCs w:val="24"/>
          <w:lang w:val="en-IN"/>
        </w:rPr>
        <w:t xml:space="preserve"> case average load factor exceeds </w:t>
      </w:r>
      <w:r w:rsidR="34D74C77" w:rsidRPr="006849EE">
        <w:rPr>
          <w:rFonts w:asciiTheme="majorHAnsi" w:hAnsiTheme="majorHAnsi"/>
          <w:sz w:val="24"/>
          <w:szCs w:val="24"/>
          <w:lang w:val="en-IN"/>
        </w:rPr>
        <w:t>65%</w:t>
      </w:r>
      <w:r w:rsidR="49BFAE55" w:rsidRPr="006849EE">
        <w:rPr>
          <w:rFonts w:asciiTheme="majorHAnsi" w:hAnsiTheme="majorHAnsi"/>
          <w:sz w:val="24"/>
          <w:szCs w:val="24"/>
          <w:lang w:val="en-IN"/>
        </w:rPr>
        <w:t xml:space="preserve">. In the FY 2024 –25 a load factor rebate of around Rs 330 crores </w:t>
      </w:r>
      <w:r w:rsidR="33520813" w:rsidRPr="006849EE">
        <w:rPr>
          <w:rFonts w:asciiTheme="majorHAnsi" w:hAnsiTheme="majorHAnsi"/>
          <w:sz w:val="24"/>
          <w:szCs w:val="24"/>
          <w:lang w:val="en-IN"/>
        </w:rPr>
        <w:t xml:space="preserve">(which is around 5.6 % of the net ARR of FY 2024-25) </w:t>
      </w:r>
      <w:r w:rsidR="49BFAE55" w:rsidRPr="006849EE">
        <w:rPr>
          <w:rFonts w:asciiTheme="majorHAnsi" w:hAnsiTheme="majorHAnsi"/>
          <w:sz w:val="24"/>
          <w:szCs w:val="24"/>
          <w:lang w:val="en-IN"/>
        </w:rPr>
        <w:t>has been passed on to the cons</w:t>
      </w:r>
      <w:r w:rsidR="2FCEE155" w:rsidRPr="006849EE">
        <w:rPr>
          <w:rFonts w:asciiTheme="majorHAnsi" w:hAnsiTheme="majorHAnsi"/>
          <w:sz w:val="24"/>
          <w:szCs w:val="24"/>
          <w:lang w:val="en-IN"/>
        </w:rPr>
        <w:t xml:space="preserve">umers of Jharkhand for </w:t>
      </w:r>
      <w:r w:rsidR="25A48B52" w:rsidRPr="006849EE">
        <w:rPr>
          <w:rFonts w:asciiTheme="majorHAnsi" w:hAnsiTheme="majorHAnsi"/>
          <w:sz w:val="24"/>
          <w:szCs w:val="24"/>
          <w:lang w:val="en-IN"/>
        </w:rPr>
        <w:t>maintaining</w:t>
      </w:r>
      <w:r w:rsidR="2FCEE155" w:rsidRPr="006849EE">
        <w:rPr>
          <w:rFonts w:asciiTheme="majorHAnsi" w:hAnsiTheme="majorHAnsi"/>
          <w:sz w:val="24"/>
          <w:szCs w:val="24"/>
          <w:lang w:val="en-IN"/>
        </w:rPr>
        <w:t xml:space="preserve"> </w:t>
      </w:r>
      <w:r w:rsidR="2A6E6947" w:rsidRPr="006849EE">
        <w:rPr>
          <w:rFonts w:asciiTheme="majorHAnsi" w:hAnsiTheme="majorHAnsi"/>
          <w:sz w:val="24"/>
          <w:szCs w:val="24"/>
          <w:lang w:val="en-IN"/>
        </w:rPr>
        <w:t>load</w:t>
      </w:r>
      <w:r w:rsidR="2FCEE155" w:rsidRPr="006849EE">
        <w:rPr>
          <w:rFonts w:asciiTheme="majorHAnsi" w:hAnsiTheme="majorHAnsi"/>
          <w:sz w:val="24"/>
          <w:szCs w:val="24"/>
          <w:lang w:val="en-IN"/>
        </w:rPr>
        <w:t xml:space="preserve"> factor beyon</w:t>
      </w:r>
      <w:r w:rsidR="49BDF743" w:rsidRPr="006849EE">
        <w:rPr>
          <w:rFonts w:asciiTheme="majorHAnsi" w:hAnsiTheme="majorHAnsi"/>
          <w:sz w:val="24"/>
          <w:szCs w:val="24"/>
          <w:lang w:val="en-IN"/>
        </w:rPr>
        <w:t>d</w:t>
      </w:r>
      <w:r w:rsidR="2FCEE155" w:rsidRPr="006849EE">
        <w:rPr>
          <w:rFonts w:asciiTheme="majorHAnsi" w:hAnsiTheme="majorHAnsi"/>
          <w:sz w:val="24"/>
          <w:szCs w:val="24"/>
          <w:lang w:val="en-IN"/>
        </w:rPr>
        <w:t xml:space="preserve"> 65</w:t>
      </w:r>
      <w:r w:rsidR="01D1B333" w:rsidRPr="006849EE">
        <w:rPr>
          <w:rFonts w:asciiTheme="majorHAnsi" w:hAnsiTheme="majorHAnsi"/>
          <w:sz w:val="24"/>
          <w:szCs w:val="24"/>
          <w:lang w:val="en-IN"/>
        </w:rPr>
        <w:t xml:space="preserve">%. Non consideration of the Load Factor rebate </w:t>
      </w:r>
      <w:r w:rsidR="289D1B12" w:rsidRPr="006849EE">
        <w:rPr>
          <w:rFonts w:asciiTheme="majorHAnsi" w:hAnsiTheme="majorHAnsi"/>
          <w:sz w:val="24"/>
          <w:szCs w:val="24"/>
          <w:lang w:val="en-IN"/>
        </w:rPr>
        <w:t xml:space="preserve">during tariff design </w:t>
      </w:r>
      <w:r w:rsidR="77F59B77" w:rsidRPr="006849EE">
        <w:rPr>
          <w:rFonts w:asciiTheme="majorHAnsi" w:hAnsiTheme="majorHAnsi"/>
          <w:sz w:val="24"/>
          <w:szCs w:val="24"/>
          <w:lang w:val="en-IN"/>
        </w:rPr>
        <w:t>causes a significant impact to DVC in the form of inadequate tariff hike and a gap between A</w:t>
      </w:r>
      <w:r w:rsidR="7BBC921F" w:rsidRPr="006849EE">
        <w:rPr>
          <w:rFonts w:asciiTheme="majorHAnsi" w:hAnsiTheme="majorHAnsi"/>
          <w:sz w:val="24"/>
          <w:szCs w:val="24"/>
          <w:lang w:val="en-IN"/>
        </w:rPr>
        <w:t xml:space="preserve">verage Cost </w:t>
      </w:r>
      <w:proofErr w:type="gramStart"/>
      <w:r w:rsidR="6E199856" w:rsidRPr="006849EE">
        <w:rPr>
          <w:rFonts w:asciiTheme="majorHAnsi" w:hAnsiTheme="majorHAnsi"/>
          <w:sz w:val="24"/>
          <w:szCs w:val="24"/>
          <w:lang w:val="en-IN"/>
        </w:rPr>
        <w:t>O</w:t>
      </w:r>
      <w:r w:rsidR="7BBC921F" w:rsidRPr="006849EE">
        <w:rPr>
          <w:rFonts w:asciiTheme="majorHAnsi" w:hAnsiTheme="majorHAnsi"/>
          <w:sz w:val="24"/>
          <w:szCs w:val="24"/>
          <w:lang w:val="en-IN"/>
        </w:rPr>
        <w:t>f</w:t>
      </w:r>
      <w:proofErr w:type="gramEnd"/>
      <w:r w:rsidR="7BBC921F" w:rsidRPr="006849EE">
        <w:rPr>
          <w:rFonts w:asciiTheme="majorHAnsi" w:hAnsiTheme="majorHAnsi"/>
          <w:sz w:val="24"/>
          <w:szCs w:val="24"/>
          <w:lang w:val="en-IN"/>
        </w:rPr>
        <w:t xml:space="preserve"> Supply and effective billing </w:t>
      </w:r>
      <w:r w:rsidR="3F3F75DC" w:rsidRPr="006849EE">
        <w:rPr>
          <w:rFonts w:asciiTheme="majorHAnsi" w:hAnsiTheme="majorHAnsi"/>
          <w:sz w:val="24"/>
          <w:szCs w:val="24"/>
          <w:lang w:val="en-IN"/>
        </w:rPr>
        <w:t>rate (</w:t>
      </w:r>
      <w:r w:rsidR="6A3F94BD" w:rsidRPr="006849EE">
        <w:rPr>
          <w:rFonts w:asciiTheme="majorHAnsi" w:hAnsiTheme="majorHAnsi"/>
          <w:sz w:val="24"/>
          <w:szCs w:val="24"/>
          <w:lang w:val="en-IN"/>
        </w:rPr>
        <w:t>ABR</w:t>
      </w:r>
      <w:r w:rsidR="7CE78545" w:rsidRPr="006849EE">
        <w:rPr>
          <w:rFonts w:asciiTheme="majorHAnsi" w:hAnsiTheme="majorHAnsi"/>
          <w:sz w:val="24"/>
          <w:szCs w:val="24"/>
          <w:lang w:val="en-IN"/>
        </w:rPr>
        <w:t>) as s</w:t>
      </w:r>
      <w:r w:rsidR="0B6C6560" w:rsidRPr="006849EE">
        <w:rPr>
          <w:rFonts w:asciiTheme="majorHAnsi" w:hAnsiTheme="majorHAnsi"/>
          <w:sz w:val="24"/>
          <w:szCs w:val="24"/>
          <w:lang w:val="en-IN"/>
        </w:rPr>
        <w:t>t</w:t>
      </w:r>
      <w:r w:rsidR="7CE78545" w:rsidRPr="006849EE">
        <w:rPr>
          <w:rFonts w:asciiTheme="majorHAnsi" w:hAnsiTheme="majorHAnsi"/>
          <w:sz w:val="24"/>
          <w:szCs w:val="24"/>
          <w:lang w:val="en-IN"/>
        </w:rPr>
        <w:t xml:space="preserve">ated </w:t>
      </w:r>
      <w:r w:rsidR="3E2E8969" w:rsidRPr="006849EE">
        <w:rPr>
          <w:rFonts w:asciiTheme="majorHAnsi" w:hAnsiTheme="majorHAnsi"/>
          <w:sz w:val="24"/>
          <w:szCs w:val="24"/>
          <w:lang w:val="en-IN"/>
        </w:rPr>
        <w:t>above.</w:t>
      </w:r>
    </w:p>
    <w:p w14:paraId="4A2EDD1F" w14:textId="32241FF7" w:rsidR="006F5D55" w:rsidRPr="006849EE" w:rsidRDefault="00E84B99" w:rsidP="00FB18C1">
      <w:pPr>
        <w:numPr>
          <w:ilvl w:val="0"/>
          <w:numId w:val="1"/>
        </w:numPr>
        <w:tabs>
          <w:tab w:val="clear" w:pos="1080"/>
          <w:tab w:val="num" w:pos="735"/>
        </w:tabs>
        <w:spacing w:line="360" w:lineRule="auto"/>
        <w:ind w:left="734" w:hanging="735"/>
        <w:jc w:val="both"/>
        <w:rPr>
          <w:rFonts w:asciiTheme="majorHAnsi" w:hAnsiTheme="majorHAnsi"/>
          <w:sz w:val="24"/>
          <w:szCs w:val="24"/>
          <w:lang w:val="en-IN"/>
        </w:rPr>
      </w:pPr>
      <w:r w:rsidRPr="006849EE">
        <w:rPr>
          <w:rFonts w:asciiTheme="majorHAnsi" w:hAnsiTheme="majorHAnsi"/>
          <w:sz w:val="24"/>
          <w:szCs w:val="24"/>
          <w:lang w:val="en-IN"/>
        </w:rPr>
        <w:t xml:space="preserve">Therefore DVC prays before the Hon’ble commission that at the instant tariff petition while determining the tariff for FY </w:t>
      </w:r>
      <w:r w:rsidR="00647238" w:rsidRPr="006849EE">
        <w:rPr>
          <w:rFonts w:asciiTheme="majorHAnsi" w:hAnsiTheme="majorHAnsi"/>
          <w:sz w:val="24"/>
          <w:szCs w:val="24"/>
          <w:lang w:val="en-IN"/>
        </w:rPr>
        <w:t>20</w:t>
      </w:r>
      <w:r w:rsidRPr="006849EE">
        <w:rPr>
          <w:rFonts w:asciiTheme="majorHAnsi" w:hAnsiTheme="majorHAnsi"/>
          <w:sz w:val="24"/>
          <w:szCs w:val="24"/>
          <w:lang w:val="en-IN"/>
        </w:rPr>
        <w:t xml:space="preserve">26 -27 and for the subsequent years  to consider the actual power factor that is being maintained in Jharkhand </w:t>
      </w:r>
      <w:r w:rsidRPr="006849EE">
        <w:rPr>
          <w:rFonts w:asciiTheme="majorHAnsi" w:hAnsiTheme="majorHAnsi" w:cs="Arial"/>
          <w:color w:val="auto"/>
          <w:sz w:val="24"/>
          <w:szCs w:val="24"/>
        </w:rPr>
        <w:t>distribution</w:t>
      </w:r>
      <w:r w:rsidRPr="006849EE">
        <w:rPr>
          <w:rFonts w:asciiTheme="majorHAnsi" w:hAnsiTheme="majorHAnsi"/>
          <w:sz w:val="24"/>
          <w:szCs w:val="24"/>
          <w:lang w:val="en-IN"/>
        </w:rPr>
        <w:t xml:space="preserve"> area and to consider the rebates while framing of tariff design so that the effective billing rate becomes commensurate with the average cost of supply and further creation of regulatory asset be avoided </w:t>
      </w:r>
      <w:r w:rsidR="005C2D9C" w:rsidRPr="006849EE">
        <w:rPr>
          <w:rFonts w:asciiTheme="majorHAnsi" w:hAnsiTheme="majorHAnsi"/>
          <w:sz w:val="24"/>
          <w:szCs w:val="24"/>
          <w:lang w:val="en-IN"/>
        </w:rPr>
        <w:t xml:space="preserve">for </w:t>
      </w:r>
      <w:r w:rsidRPr="006849EE">
        <w:rPr>
          <w:rFonts w:asciiTheme="majorHAnsi" w:hAnsiTheme="majorHAnsi"/>
          <w:sz w:val="24"/>
          <w:szCs w:val="24"/>
          <w:lang w:val="en-IN"/>
        </w:rPr>
        <w:t xml:space="preserve"> </w:t>
      </w:r>
      <w:r w:rsidR="7A3F3F8D" w:rsidRPr="006849EE">
        <w:rPr>
          <w:rFonts w:asciiTheme="majorHAnsi" w:hAnsiTheme="majorHAnsi"/>
          <w:sz w:val="24"/>
          <w:szCs w:val="24"/>
          <w:lang w:val="en-IN"/>
        </w:rPr>
        <w:t>sustainability</w:t>
      </w:r>
      <w:r w:rsidR="42F541A5" w:rsidRPr="006849EE">
        <w:rPr>
          <w:rFonts w:asciiTheme="majorHAnsi" w:hAnsiTheme="majorHAnsi"/>
          <w:sz w:val="24"/>
          <w:szCs w:val="24"/>
          <w:lang w:val="en-IN"/>
        </w:rPr>
        <w:t xml:space="preserve"> of distribution </w:t>
      </w:r>
      <w:r w:rsidR="0F4A1EAC" w:rsidRPr="006849EE">
        <w:rPr>
          <w:rFonts w:asciiTheme="majorHAnsi" w:hAnsiTheme="majorHAnsi"/>
          <w:sz w:val="24"/>
          <w:szCs w:val="24"/>
          <w:lang w:val="en-IN"/>
        </w:rPr>
        <w:t xml:space="preserve">business in </w:t>
      </w:r>
      <w:proofErr w:type="spellStart"/>
      <w:r w:rsidR="0F4A1EAC" w:rsidRPr="006849EE">
        <w:rPr>
          <w:rFonts w:asciiTheme="majorHAnsi" w:hAnsiTheme="majorHAnsi"/>
          <w:sz w:val="24"/>
          <w:szCs w:val="24"/>
          <w:lang w:val="en-IN"/>
        </w:rPr>
        <w:t>Jharkahnd</w:t>
      </w:r>
      <w:proofErr w:type="spellEnd"/>
      <w:r w:rsidR="0F4A1EAC" w:rsidRPr="006849EE">
        <w:rPr>
          <w:rFonts w:asciiTheme="majorHAnsi" w:hAnsiTheme="majorHAnsi"/>
          <w:sz w:val="24"/>
          <w:szCs w:val="24"/>
          <w:lang w:val="en-IN"/>
        </w:rPr>
        <w:t xml:space="preserve"> .</w:t>
      </w:r>
    </w:p>
    <w:p w14:paraId="451864B9" w14:textId="293E744C"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b/>
          <w:color w:val="auto"/>
          <w:sz w:val="24"/>
          <w:szCs w:val="24"/>
        </w:rPr>
      </w:pPr>
      <w:r w:rsidRPr="006849EE">
        <w:rPr>
          <w:rFonts w:asciiTheme="majorHAnsi" w:eastAsiaTheme="majorEastAsia" w:hAnsiTheme="majorHAnsi" w:cs="Arial"/>
          <w:color w:val="auto"/>
          <w:sz w:val="24"/>
          <w:szCs w:val="24"/>
        </w:rPr>
        <w:t xml:space="preserve">Detailed computation </w:t>
      </w:r>
      <w:r w:rsidR="00BC2EBF" w:rsidRPr="006849EE">
        <w:rPr>
          <w:rFonts w:asciiTheme="majorHAnsi" w:eastAsiaTheme="majorEastAsia" w:hAnsiTheme="majorHAnsi" w:cs="Arial"/>
          <w:color w:val="auto"/>
          <w:sz w:val="24"/>
          <w:szCs w:val="24"/>
        </w:rPr>
        <w:t>sheets in</w:t>
      </w:r>
      <w:r w:rsidRPr="006849EE">
        <w:rPr>
          <w:rFonts w:asciiTheme="majorHAnsi" w:eastAsiaTheme="majorEastAsia" w:hAnsiTheme="majorHAnsi" w:cs="Arial"/>
          <w:color w:val="auto"/>
          <w:sz w:val="24"/>
          <w:szCs w:val="24"/>
        </w:rPr>
        <w:t xml:space="preserve"> </w:t>
      </w:r>
      <w:r w:rsidR="00E91BD8" w:rsidRPr="006849EE">
        <w:rPr>
          <w:rFonts w:asciiTheme="majorHAnsi" w:eastAsiaTheme="majorEastAsia" w:hAnsiTheme="majorHAnsi" w:cs="Arial"/>
          <w:color w:val="auto"/>
          <w:sz w:val="24"/>
          <w:szCs w:val="24"/>
        </w:rPr>
        <w:t>respect of</w:t>
      </w:r>
      <w:r w:rsidRPr="006849EE">
        <w:rPr>
          <w:rFonts w:asciiTheme="majorHAnsi" w:eastAsiaTheme="majorEastAsia" w:hAnsiTheme="majorHAnsi" w:cs="Arial"/>
          <w:color w:val="auto"/>
          <w:sz w:val="24"/>
          <w:szCs w:val="24"/>
        </w:rPr>
        <w:t xml:space="preserve"> Aggregate Revenue Requirement (ARR) for 202</w:t>
      </w:r>
      <w:r w:rsidR="003C5925" w:rsidRPr="006849EE">
        <w:rPr>
          <w:rFonts w:asciiTheme="majorHAnsi" w:eastAsiaTheme="majorEastAsia" w:hAnsiTheme="majorHAnsi" w:cs="Arial"/>
          <w:color w:val="auto"/>
          <w:sz w:val="24"/>
          <w:szCs w:val="24"/>
        </w:rPr>
        <w:t xml:space="preserve">6-27 to </w:t>
      </w:r>
      <w:r w:rsidR="007141C5" w:rsidRPr="006849EE">
        <w:rPr>
          <w:rFonts w:asciiTheme="majorHAnsi" w:eastAsiaTheme="majorEastAsia" w:hAnsiTheme="majorHAnsi" w:cs="Arial"/>
          <w:color w:val="auto"/>
          <w:sz w:val="24"/>
          <w:szCs w:val="24"/>
        </w:rPr>
        <w:t>2030-31</w:t>
      </w:r>
      <w:r w:rsidRPr="006849EE">
        <w:rPr>
          <w:rFonts w:asciiTheme="majorHAnsi" w:eastAsiaTheme="majorEastAsia" w:hAnsiTheme="majorHAnsi" w:cs="Arial"/>
          <w:color w:val="auto"/>
          <w:sz w:val="24"/>
          <w:szCs w:val="24"/>
        </w:rPr>
        <w:t xml:space="preserve"> in respect of DVC’s distribution activity in the state of Jharkhand </w:t>
      </w:r>
      <w:proofErr w:type="gramStart"/>
      <w:r w:rsidRPr="006849EE">
        <w:rPr>
          <w:rFonts w:asciiTheme="majorHAnsi" w:eastAsiaTheme="majorEastAsia" w:hAnsiTheme="majorHAnsi" w:cs="Arial"/>
          <w:color w:val="auto"/>
          <w:sz w:val="24"/>
          <w:szCs w:val="24"/>
        </w:rPr>
        <w:t>is</w:t>
      </w:r>
      <w:proofErr w:type="gramEnd"/>
      <w:r w:rsidRPr="006849EE">
        <w:rPr>
          <w:rFonts w:asciiTheme="majorHAnsi" w:eastAsiaTheme="majorEastAsia" w:hAnsiTheme="majorHAnsi" w:cs="Arial"/>
          <w:color w:val="auto"/>
          <w:sz w:val="24"/>
          <w:szCs w:val="24"/>
        </w:rPr>
        <w:t xml:space="preserve"> attached herewith as </w:t>
      </w:r>
      <w:r w:rsidRPr="006849EE">
        <w:rPr>
          <w:rFonts w:asciiTheme="majorHAnsi" w:eastAsiaTheme="majorEastAsia" w:hAnsiTheme="majorHAnsi" w:cs="Arial"/>
          <w:b/>
          <w:color w:val="auto"/>
          <w:sz w:val="24"/>
          <w:szCs w:val="24"/>
        </w:rPr>
        <w:t>A</w:t>
      </w:r>
      <w:r w:rsidR="00BB60A4" w:rsidRPr="006849EE">
        <w:rPr>
          <w:rFonts w:asciiTheme="majorHAnsi" w:eastAsiaTheme="majorEastAsia" w:hAnsiTheme="majorHAnsi" w:cs="Arial"/>
          <w:b/>
          <w:color w:val="auto"/>
          <w:sz w:val="24"/>
          <w:szCs w:val="24"/>
        </w:rPr>
        <w:t>NNEXURE-6</w:t>
      </w:r>
      <w:r w:rsidRPr="006849EE">
        <w:rPr>
          <w:rFonts w:asciiTheme="majorHAnsi" w:eastAsiaTheme="majorEastAsia" w:hAnsiTheme="majorHAnsi" w:cs="Arial"/>
          <w:b/>
          <w:color w:val="auto"/>
          <w:sz w:val="24"/>
          <w:szCs w:val="24"/>
        </w:rPr>
        <w:t xml:space="preserve">. </w:t>
      </w:r>
      <w:r w:rsidRPr="006849EE">
        <w:rPr>
          <w:rFonts w:asciiTheme="majorHAnsi" w:eastAsiaTheme="majorEastAsia" w:hAnsiTheme="majorHAnsi" w:cs="Arial"/>
          <w:color w:val="auto"/>
          <w:sz w:val="24"/>
          <w:szCs w:val="24"/>
        </w:rPr>
        <w:t xml:space="preserve">Relevant Tariff formats for Aggregate Revenue Requirement (ARR) </w:t>
      </w:r>
      <w:r w:rsidR="009B16A7" w:rsidRPr="006849EE">
        <w:rPr>
          <w:rFonts w:asciiTheme="majorHAnsi" w:eastAsiaTheme="majorEastAsia" w:hAnsiTheme="majorHAnsi" w:cs="Arial"/>
          <w:color w:val="auto"/>
          <w:sz w:val="24"/>
          <w:szCs w:val="24"/>
        </w:rPr>
        <w:t xml:space="preserve">for 2026-27 to 2030-31 </w:t>
      </w:r>
      <w:r w:rsidRPr="006849EE">
        <w:rPr>
          <w:rFonts w:asciiTheme="majorHAnsi" w:eastAsiaTheme="majorEastAsia" w:hAnsiTheme="majorHAnsi" w:cs="Arial"/>
          <w:color w:val="auto"/>
          <w:sz w:val="24"/>
          <w:szCs w:val="24"/>
        </w:rPr>
        <w:t xml:space="preserve">related to distribution activity in the state of Jharkhand as per appropriate Tariff Regulations of this Hon’ble Commission are attached herewith as </w:t>
      </w:r>
      <w:r w:rsidRPr="006849EE">
        <w:rPr>
          <w:rFonts w:asciiTheme="majorHAnsi" w:eastAsiaTheme="majorEastAsia" w:hAnsiTheme="majorHAnsi" w:cs="Arial"/>
          <w:b/>
          <w:color w:val="auto"/>
          <w:sz w:val="24"/>
          <w:szCs w:val="24"/>
        </w:rPr>
        <w:t>A</w:t>
      </w:r>
      <w:r w:rsidR="00CC5FDB" w:rsidRPr="006849EE">
        <w:rPr>
          <w:rFonts w:asciiTheme="majorHAnsi" w:eastAsiaTheme="majorEastAsia" w:hAnsiTheme="majorHAnsi" w:cs="Arial"/>
          <w:b/>
          <w:color w:val="auto"/>
          <w:sz w:val="24"/>
          <w:szCs w:val="24"/>
        </w:rPr>
        <w:t>NNEXURE</w:t>
      </w:r>
      <w:r w:rsidRPr="006849EE">
        <w:rPr>
          <w:rFonts w:asciiTheme="majorHAnsi" w:eastAsiaTheme="majorEastAsia" w:hAnsiTheme="majorHAnsi" w:cs="Arial"/>
          <w:b/>
          <w:color w:val="auto"/>
          <w:sz w:val="24"/>
          <w:szCs w:val="24"/>
        </w:rPr>
        <w:t xml:space="preserve"> -</w:t>
      </w:r>
      <w:r w:rsidR="00991CCC" w:rsidRPr="006849EE">
        <w:rPr>
          <w:rFonts w:asciiTheme="majorHAnsi" w:eastAsiaTheme="majorEastAsia" w:hAnsiTheme="majorHAnsi" w:cs="Arial"/>
          <w:b/>
          <w:color w:val="auto"/>
          <w:sz w:val="24"/>
          <w:szCs w:val="24"/>
        </w:rPr>
        <w:t>9</w:t>
      </w:r>
      <w:r w:rsidRPr="006849EE">
        <w:rPr>
          <w:rFonts w:asciiTheme="majorHAnsi" w:eastAsiaTheme="majorEastAsia" w:hAnsiTheme="majorHAnsi" w:cs="Arial"/>
          <w:b/>
          <w:color w:val="auto"/>
          <w:sz w:val="24"/>
          <w:szCs w:val="24"/>
        </w:rPr>
        <w:t>.</w:t>
      </w:r>
    </w:p>
    <w:p w14:paraId="53DCF0A3" w14:textId="1E2DBE3C"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b/>
          <w:color w:val="auto"/>
          <w:sz w:val="24"/>
          <w:szCs w:val="24"/>
        </w:rPr>
      </w:pPr>
      <w:r w:rsidRPr="006849EE">
        <w:rPr>
          <w:rFonts w:asciiTheme="majorHAnsi" w:eastAsiaTheme="majorEastAsia" w:hAnsiTheme="majorHAnsi" w:cs="Arial"/>
          <w:color w:val="auto"/>
          <w:sz w:val="24"/>
          <w:szCs w:val="24"/>
        </w:rPr>
        <w:t xml:space="preserve">DVC submits that other terms and conditions of supply will be guided in terms of the relevant regulations as notified by this Hon’ble Commission and the latest Tariff Order. In addition to the tariff for supply of electricity, other applicable charges viz. disconnection charge, re-connection charge, penal demand charges for over-drawl </w:t>
      </w:r>
      <w:r w:rsidRPr="006849EE">
        <w:rPr>
          <w:rFonts w:asciiTheme="majorHAnsi" w:eastAsiaTheme="majorEastAsia" w:hAnsiTheme="majorHAnsi" w:cs="Arial"/>
          <w:color w:val="auto"/>
          <w:sz w:val="24"/>
          <w:szCs w:val="24"/>
        </w:rPr>
        <w:lastRenderedPageBreak/>
        <w:t>etc. are proposed as per the Tariff Order issued</w:t>
      </w:r>
      <w:r w:rsidR="00C1228D" w:rsidRPr="006849EE">
        <w:rPr>
          <w:rFonts w:asciiTheme="majorHAnsi" w:eastAsiaTheme="majorEastAsia" w:hAnsiTheme="majorHAnsi" w:cs="Arial"/>
          <w:color w:val="auto"/>
          <w:sz w:val="24"/>
          <w:szCs w:val="24"/>
        </w:rPr>
        <w:t xml:space="preserve"> </w:t>
      </w:r>
      <w:r w:rsidR="005E21B9" w:rsidRPr="006849EE">
        <w:rPr>
          <w:rFonts w:asciiTheme="majorHAnsi" w:eastAsiaTheme="majorEastAsia" w:hAnsiTheme="majorHAnsi" w:cs="Arial"/>
          <w:color w:val="auto"/>
          <w:sz w:val="24"/>
          <w:szCs w:val="24"/>
        </w:rPr>
        <w:t xml:space="preserve">on </w:t>
      </w:r>
      <w:r w:rsidR="00C1228D" w:rsidRPr="006849EE">
        <w:rPr>
          <w:rFonts w:asciiTheme="majorHAnsi" w:eastAsiaTheme="majorEastAsia" w:hAnsiTheme="majorHAnsi" w:cs="Arial"/>
          <w:color w:val="auto"/>
          <w:sz w:val="24"/>
          <w:szCs w:val="24"/>
        </w:rPr>
        <w:t xml:space="preserve">27.05.2025 </w:t>
      </w:r>
      <w:r w:rsidRPr="006849EE">
        <w:rPr>
          <w:rFonts w:asciiTheme="majorHAnsi" w:eastAsiaTheme="majorEastAsia" w:hAnsiTheme="majorHAnsi" w:cs="Arial"/>
          <w:color w:val="auto"/>
          <w:sz w:val="24"/>
          <w:szCs w:val="24"/>
        </w:rPr>
        <w:t xml:space="preserve">by this Hon’ble Commission. </w:t>
      </w:r>
    </w:p>
    <w:p w14:paraId="5E08787A" w14:textId="58AF1CDE"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The present tariff petition also includes </w:t>
      </w:r>
      <w:r w:rsidR="00BC2EBF" w:rsidRPr="006849EE">
        <w:rPr>
          <w:rFonts w:asciiTheme="majorHAnsi" w:eastAsiaTheme="majorEastAsia" w:hAnsiTheme="majorHAnsi" w:cs="Arial"/>
          <w:color w:val="auto"/>
          <w:sz w:val="24"/>
          <w:szCs w:val="24"/>
        </w:rPr>
        <w:t>proposals</w:t>
      </w:r>
      <w:r w:rsidRPr="006849EE">
        <w:rPr>
          <w:rFonts w:asciiTheme="majorHAnsi" w:eastAsiaTheme="majorEastAsia" w:hAnsiTheme="majorHAnsi" w:cs="Arial"/>
          <w:color w:val="auto"/>
          <w:sz w:val="24"/>
          <w:szCs w:val="24"/>
        </w:rPr>
        <w:t xml:space="preserve"> for determination of tariff for power supply at LT voltage category. Accordingly, this Hon’ble Commission may be pleased to determine the tariff applicable to different categories of LT consumers located within the Damodar Valley Area in the State of Jharkhand.</w:t>
      </w:r>
    </w:p>
    <w:p w14:paraId="0602C34E" w14:textId="77777777"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DVC </w:t>
      </w:r>
      <w:r w:rsidRPr="006849EE">
        <w:rPr>
          <w:rFonts w:asciiTheme="majorHAnsi" w:hAnsiTheme="majorHAnsi" w:cs="Arial"/>
          <w:color w:val="auto"/>
          <w:sz w:val="24"/>
          <w:szCs w:val="24"/>
        </w:rPr>
        <w:t>craves</w:t>
      </w:r>
      <w:r w:rsidRPr="006849EE">
        <w:rPr>
          <w:rFonts w:asciiTheme="majorHAnsi" w:eastAsiaTheme="majorEastAsia" w:hAnsiTheme="majorHAnsi" w:cs="Arial"/>
          <w:color w:val="auto"/>
          <w:sz w:val="24"/>
          <w:szCs w:val="24"/>
        </w:rPr>
        <w:t xml:space="preserve"> leave to submit any additional data, information, clarification, modification along with necessary justification as may be required during pendency of the petition for tariff determination process by this Hon’ble Commission.</w:t>
      </w:r>
    </w:p>
    <w:p w14:paraId="331149A9" w14:textId="50F359FF" w:rsidR="0047486D" w:rsidRPr="006849EE" w:rsidRDefault="000B2B2E" w:rsidP="00FB18C1">
      <w:pPr>
        <w:numPr>
          <w:ilvl w:val="0"/>
          <w:numId w:val="1"/>
        </w:numPr>
        <w:tabs>
          <w:tab w:val="clear" w:pos="1080"/>
          <w:tab w:val="num" w:pos="735"/>
        </w:tabs>
        <w:spacing w:line="360" w:lineRule="auto"/>
        <w:ind w:left="734" w:hanging="735"/>
        <w:jc w:val="both"/>
        <w:rPr>
          <w:rFonts w:asciiTheme="majorHAnsi" w:hAnsiTheme="majorHAnsi" w:cs="Arial"/>
          <w:strike/>
          <w:color w:val="auto"/>
          <w:sz w:val="24"/>
          <w:szCs w:val="24"/>
        </w:rPr>
      </w:pPr>
      <w:r w:rsidRPr="006849EE">
        <w:rPr>
          <w:rFonts w:asciiTheme="majorHAnsi" w:eastAsiaTheme="majorEastAsia" w:hAnsiTheme="majorHAnsi" w:cs="Arial"/>
          <w:color w:val="auto"/>
          <w:sz w:val="24"/>
          <w:szCs w:val="24"/>
        </w:rPr>
        <w:t xml:space="preserve">DVC </w:t>
      </w:r>
      <w:r w:rsidRPr="006849EE">
        <w:rPr>
          <w:rFonts w:asciiTheme="majorHAnsi" w:hAnsiTheme="majorHAnsi" w:cs="Arial"/>
          <w:color w:val="auto"/>
          <w:sz w:val="24"/>
          <w:szCs w:val="24"/>
        </w:rPr>
        <w:t>respectfully</w:t>
      </w:r>
      <w:r w:rsidRPr="006849EE">
        <w:rPr>
          <w:rFonts w:asciiTheme="majorHAnsi" w:eastAsiaTheme="majorEastAsia" w:hAnsiTheme="majorHAnsi" w:cs="Arial"/>
          <w:color w:val="auto"/>
          <w:sz w:val="24"/>
          <w:szCs w:val="24"/>
        </w:rPr>
        <w:t xml:space="preserve"> submits that the year-wise Average Cost of Supply (</w:t>
      </w:r>
      <w:proofErr w:type="spellStart"/>
      <w:r w:rsidRPr="006849EE">
        <w:rPr>
          <w:rFonts w:asciiTheme="majorHAnsi" w:eastAsiaTheme="majorEastAsia" w:hAnsiTheme="majorHAnsi" w:cs="Arial"/>
          <w:color w:val="auto"/>
          <w:sz w:val="24"/>
          <w:szCs w:val="24"/>
        </w:rPr>
        <w:t>ACoS</w:t>
      </w:r>
      <w:proofErr w:type="spellEnd"/>
      <w:r w:rsidRPr="006849EE">
        <w:rPr>
          <w:rFonts w:asciiTheme="majorHAnsi" w:eastAsiaTheme="majorEastAsia" w:hAnsiTheme="majorHAnsi" w:cs="Arial"/>
          <w:color w:val="auto"/>
          <w:sz w:val="24"/>
          <w:szCs w:val="24"/>
        </w:rPr>
        <w:t xml:space="preserve">) proposed in this petition is based on the input costs discussed above. It is further </w:t>
      </w:r>
      <w:proofErr w:type="gramStart"/>
      <w:r w:rsidRPr="006849EE">
        <w:rPr>
          <w:rFonts w:asciiTheme="majorHAnsi" w:eastAsiaTheme="majorEastAsia" w:hAnsiTheme="majorHAnsi" w:cs="Arial"/>
          <w:color w:val="auto"/>
          <w:sz w:val="24"/>
          <w:szCs w:val="24"/>
        </w:rPr>
        <w:t>submitted</w:t>
      </w:r>
      <w:proofErr w:type="gramEnd"/>
      <w:r w:rsidRPr="006849EE">
        <w:rPr>
          <w:rFonts w:asciiTheme="majorHAnsi" w:eastAsiaTheme="majorEastAsia" w:hAnsiTheme="majorHAnsi" w:cs="Arial"/>
          <w:color w:val="auto"/>
          <w:sz w:val="24"/>
          <w:szCs w:val="24"/>
        </w:rPr>
        <w:t xml:space="preserve"> that past revenue gaps have not been factored into </w:t>
      </w:r>
      <w:proofErr w:type="spellStart"/>
      <w:r w:rsidRPr="006849EE">
        <w:rPr>
          <w:rFonts w:asciiTheme="majorHAnsi" w:eastAsiaTheme="majorEastAsia" w:hAnsiTheme="majorHAnsi" w:cs="Arial"/>
          <w:color w:val="auto"/>
          <w:sz w:val="24"/>
          <w:szCs w:val="24"/>
        </w:rPr>
        <w:t>ACoS</w:t>
      </w:r>
      <w:proofErr w:type="spellEnd"/>
      <w:r w:rsidRPr="006849EE">
        <w:rPr>
          <w:rFonts w:asciiTheme="majorHAnsi" w:eastAsiaTheme="majorEastAsia" w:hAnsiTheme="majorHAnsi" w:cs="Arial"/>
          <w:color w:val="auto"/>
          <w:sz w:val="24"/>
          <w:szCs w:val="24"/>
        </w:rPr>
        <w:t>, as the matter is presently pending before the Hon’ble APTEL</w:t>
      </w:r>
      <w:r w:rsidR="00BC2EBF" w:rsidRPr="006849EE">
        <w:rPr>
          <w:rFonts w:asciiTheme="majorHAnsi" w:eastAsiaTheme="majorEastAsia" w:hAnsiTheme="majorHAnsi" w:cs="Arial"/>
          <w:color w:val="auto"/>
          <w:sz w:val="24"/>
          <w:szCs w:val="24"/>
        </w:rPr>
        <w:t>.</w:t>
      </w:r>
    </w:p>
    <w:p w14:paraId="188A9EF0" w14:textId="77777777" w:rsidR="0047486D"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lang w:val="en-IN"/>
        </w:rPr>
      </w:pPr>
      <w:r w:rsidRPr="006849EE">
        <w:rPr>
          <w:rFonts w:asciiTheme="majorHAnsi" w:hAnsiTheme="majorHAnsi"/>
          <w:sz w:val="24"/>
          <w:szCs w:val="24"/>
        </w:rPr>
        <w:t xml:space="preserve">DVC </w:t>
      </w:r>
      <w:r w:rsidRPr="006849EE">
        <w:rPr>
          <w:rFonts w:asciiTheme="majorHAnsi" w:hAnsiTheme="majorHAnsi" w:cs="Arial"/>
          <w:color w:val="auto"/>
          <w:sz w:val="24"/>
          <w:szCs w:val="24"/>
        </w:rPr>
        <w:t>respectfully</w:t>
      </w:r>
      <w:r w:rsidRPr="006849EE">
        <w:rPr>
          <w:rFonts w:asciiTheme="majorHAnsi" w:hAnsiTheme="majorHAnsi"/>
          <w:sz w:val="24"/>
          <w:szCs w:val="24"/>
        </w:rPr>
        <w:t xml:space="preserve"> submits that, as per the Hon’ble Commission’s own past tariff orders, the DVC’s recoverable claim computed up to 31.03.2024 aggregates to </w:t>
      </w:r>
      <w:r w:rsidRPr="006849EE">
        <w:rPr>
          <w:rStyle w:val="Strong"/>
          <w:rFonts w:asciiTheme="majorHAnsi" w:hAnsiTheme="majorHAnsi"/>
          <w:b w:val="0"/>
          <w:bCs w:val="0"/>
          <w:sz w:val="24"/>
          <w:szCs w:val="24"/>
        </w:rPr>
        <w:t>₹6,027 crores</w:t>
      </w:r>
      <w:r w:rsidRPr="006849EE">
        <w:rPr>
          <w:rFonts w:asciiTheme="majorHAnsi" w:hAnsiTheme="majorHAnsi"/>
          <w:sz w:val="24"/>
          <w:szCs w:val="24"/>
        </w:rPr>
        <w:t xml:space="preserve">, inclusive of carrying cost at the applicable Late Payment Surcharge (LPS) rate. This quantification has been adopted from the revenue gap determined by this Hon’ble Commission in previous True-up Orders. </w:t>
      </w:r>
    </w:p>
    <w:p w14:paraId="19001EFA" w14:textId="3E05D04A" w:rsidR="0047486D" w:rsidRPr="006849EE" w:rsidRDefault="0047486D" w:rsidP="00FB18C1">
      <w:pPr>
        <w:numPr>
          <w:ilvl w:val="0"/>
          <w:numId w:val="1"/>
        </w:numPr>
        <w:tabs>
          <w:tab w:val="clear" w:pos="1080"/>
          <w:tab w:val="num" w:pos="735"/>
        </w:tabs>
        <w:spacing w:line="360" w:lineRule="auto"/>
        <w:ind w:left="734" w:hanging="735"/>
        <w:jc w:val="both"/>
        <w:rPr>
          <w:rStyle w:val="Emphasis"/>
          <w:rFonts w:asciiTheme="majorHAnsi" w:hAnsiTheme="majorHAnsi"/>
          <w:i w:val="0"/>
          <w:iCs w:val="0"/>
          <w:sz w:val="24"/>
          <w:szCs w:val="24"/>
        </w:rPr>
      </w:pPr>
      <w:r w:rsidRPr="006849EE">
        <w:rPr>
          <w:rFonts w:asciiTheme="majorHAnsi" w:hAnsiTheme="majorHAnsi"/>
          <w:sz w:val="24"/>
          <w:szCs w:val="24"/>
        </w:rPr>
        <w:t xml:space="preserve">In </w:t>
      </w:r>
      <w:r w:rsidRPr="006849EE">
        <w:rPr>
          <w:rFonts w:asciiTheme="majorHAnsi" w:hAnsiTheme="majorHAnsi" w:cs="Arial"/>
          <w:color w:val="auto"/>
          <w:sz w:val="24"/>
          <w:szCs w:val="24"/>
        </w:rPr>
        <w:t>addition</w:t>
      </w:r>
      <w:r w:rsidRPr="006849EE">
        <w:rPr>
          <w:rFonts w:asciiTheme="majorHAnsi" w:hAnsiTheme="majorHAnsi"/>
          <w:sz w:val="24"/>
          <w:szCs w:val="24"/>
        </w:rPr>
        <w:t xml:space="preserve"> to the above, the differential impact on AFC arising from revision of Annual Fixed Cost of DVC’s generating stations amounts to approximately </w:t>
      </w:r>
      <w:r w:rsidRPr="006849EE">
        <w:rPr>
          <w:rStyle w:val="Strong"/>
          <w:rFonts w:asciiTheme="majorHAnsi" w:hAnsiTheme="majorHAnsi"/>
          <w:b w:val="0"/>
          <w:bCs w:val="0"/>
          <w:sz w:val="24"/>
          <w:szCs w:val="24"/>
        </w:rPr>
        <w:t>₹1,200 crore</w:t>
      </w:r>
      <w:r w:rsidRPr="006849EE">
        <w:rPr>
          <w:rFonts w:asciiTheme="majorHAnsi" w:hAnsiTheme="majorHAnsi"/>
          <w:sz w:val="24"/>
          <w:szCs w:val="24"/>
        </w:rPr>
        <w:t xml:space="preserve">. When this is considered together with DVC’s other legitimate claims pending adjudication in the connected Appeals, the </w:t>
      </w:r>
      <w:r w:rsidRPr="006849EE">
        <w:rPr>
          <w:rStyle w:val="Strong"/>
          <w:rFonts w:asciiTheme="majorHAnsi" w:hAnsiTheme="majorHAnsi"/>
          <w:b w:val="0"/>
          <w:bCs w:val="0"/>
          <w:sz w:val="24"/>
          <w:szCs w:val="24"/>
        </w:rPr>
        <w:t xml:space="preserve">cumulative recoverable amount </w:t>
      </w:r>
      <w:r w:rsidR="00F0715A">
        <w:rPr>
          <w:rStyle w:val="Strong"/>
          <w:rFonts w:asciiTheme="majorHAnsi" w:hAnsiTheme="majorHAnsi"/>
          <w:b w:val="0"/>
          <w:bCs w:val="0"/>
          <w:sz w:val="24"/>
          <w:szCs w:val="24"/>
        </w:rPr>
        <w:t xml:space="preserve">will become </w:t>
      </w:r>
      <w:r w:rsidR="28A80315" w:rsidRPr="006849EE">
        <w:rPr>
          <w:rStyle w:val="Strong"/>
          <w:rFonts w:asciiTheme="majorHAnsi" w:hAnsiTheme="majorHAnsi"/>
          <w:b w:val="0"/>
          <w:bCs w:val="0"/>
          <w:sz w:val="24"/>
          <w:szCs w:val="24"/>
        </w:rPr>
        <w:t>more than</w:t>
      </w:r>
      <w:r w:rsidRPr="006849EE">
        <w:rPr>
          <w:rStyle w:val="Strong"/>
          <w:rFonts w:asciiTheme="majorHAnsi" w:hAnsiTheme="majorHAnsi"/>
          <w:b w:val="0"/>
          <w:bCs w:val="0"/>
          <w:sz w:val="24"/>
          <w:szCs w:val="24"/>
        </w:rPr>
        <w:t xml:space="preserve"> ₹10,000 crore</w:t>
      </w:r>
      <w:r w:rsidRPr="006849EE">
        <w:rPr>
          <w:rFonts w:asciiTheme="majorHAnsi" w:hAnsiTheme="majorHAnsi"/>
          <w:sz w:val="24"/>
          <w:szCs w:val="24"/>
        </w:rPr>
        <w:t xml:space="preserve">. Under Rule 23 of the Electricity Rules, 2024, all past period regulatory gaps, particularly those attributable to </w:t>
      </w:r>
      <w:r w:rsidRPr="006849EE">
        <w:rPr>
          <w:rStyle w:val="Strong"/>
          <w:rFonts w:asciiTheme="majorHAnsi" w:hAnsiTheme="majorHAnsi"/>
          <w:b w:val="0"/>
          <w:bCs w:val="0"/>
          <w:sz w:val="24"/>
          <w:szCs w:val="24"/>
        </w:rPr>
        <w:t>uncontrollable and pass-through cost elements</w:t>
      </w:r>
      <w:r w:rsidRPr="006849EE">
        <w:rPr>
          <w:rFonts w:asciiTheme="majorHAnsi" w:hAnsiTheme="majorHAnsi"/>
          <w:sz w:val="24"/>
          <w:szCs w:val="24"/>
        </w:rPr>
        <w:t xml:space="preserve">, are mandatorily required to be adjusted in subsequent tariff periods to preserve the revenue-neutral character of a regulated utility. This obligation is consistent with the scheme of the Electricity Act as well as the principle upheld by the Hon’ble Supreme Court in </w:t>
      </w:r>
      <w:r w:rsidRPr="006849EE">
        <w:rPr>
          <w:rStyle w:val="Emphasis"/>
          <w:rFonts w:asciiTheme="majorHAnsi" w:hAnsiTheme="majorHAnsi"/>
          <w:sz w:val="24"/>
          <w:szCs w:val="24"/>
        </w:rPr>
        <w:t xml:space="preserve">BSES Rajdhani Power Ltd. &amp; </w:t>
      </w:r>
      <w:proofErr w:type="spellStart"/>
      <w:r w:rsidRPr="006849EE">
        <w:rPr>
          <w:rStyle w:val="Emphasis"/>
          <w:rFonts w:asciiTheme="majorHAnsi" w:hAnsiTheme="majorHAnsi"/>
          <w:sz w:val="24"/>
          <w:szCs w:val="24"/>
        </w:rPr>
        <w:t>Anr</w:t>
      </w:r>
      <w:proofErr w:type="spellEnd"/>
      <w:r w:rsidRPr="006849EE">
        <w:rPr>
          <w:rStyle w:val="Emphasis"/>
          <w:rFonts w:asciiTheme="majorHAnsi" w:hAnsiTheme="majorHAnsi"/>
          <w:sz w:val="24"/>
          <w:szCs w:val="24"/>
        </w:rPr>
        <w:t>. v. Union of India &amp; Ors.</w:t>
      </w:r>
      <w:r w:rsidRPr="006849EE">
        <w:rPr>
          <w:rStyle w:val="Emphasis"/>
          <w:rFonts w:asciiTheme="majorHAnsi" w:hAnsiTheme="majorHAnsi"/>
          <w:i w:val="0"/>
          <w:iCs w:val="0"/>
          <w:sz w:val="24"/>
          <w:szCs w:val="24"/>
        </w:rPr>
        <w:t xml:space="preserve"> pronounced on 06.08.2025.</w:t>
      </w:r>
    </w:p>
    <w:p w14:paraId="34B122BB" w14:textId="77777777" w:rsidR="0047486D"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rPr>
      </w:pPr>
      <w:r w:rsidRPr="006849EE">
        <w:rPr>
          <w:rFonts w:asciiTheme="majorHAnsi" w:hAnsiTheme="majorHAnsi"/>
          <w:sz w:val="24"/>
          <w:szCs w:val="24"/>
        </w:rPr>
        <w:t xml:space="preserve">The </w:t>
      </w:r>
      <w:r w:rsidRPr="006849EE">
        <w:rPr>
          <w:rFonts w:asciiTheme="majorHAnsi" w:hAnsiTheme="majorHAnsi" w:cs="Arial"/>
          <w:color w:val="auto"/>
          <w:sz w:val="24"/>
          <w:szCs w:val="24"/>
        </w:rPr>
        <w:t>Hon’ble</w:t>
      </w:r>
      <w:r w:rsidRPr="006849EE">
        <w:rPr>
          <w:rFonts w:asciiTheme="majorHAnsi" w:hAnsiTheme="majorHAnsi"/>
          <w:sz w:val="24"/>
          <w:szCs w:val="24"/>
        </w:rPr>
        <w:t xml:space="preserve"> Supreme Court recognized that the notion of a “Regulatory Asset” i.e., deferred recovery of revenue shortfall is not a freestanding statutory right but a regulatory construct that must operate within strict legal constraints. It held that tariff must remain cost-reflective and that creation or continuation of a revenue gap </w:t>
      </w:r>
      <w:r w:rsidRPr="006849EE">
        <w:rPr>
          <w:rFonts w:asciiTheme="majorHAnsi" w:hAnsiTheme="majorHAnsi"/>
          <w:sz w:val="24"/>
          <w:szCs w:val="24"/>
        </w:rPr>
        <w:lastRenderedPageBreak/>
        <w:t xml:space="preserve">(regulatory asset) is permissible only in “exceptional circumstances,” such as </w:t>
      </w:r>
      <w:r w:rsidRPr="006849EE">
        <w:rPr>
          <w:rFonts w:asciiTheme="majorHAnsi" w:hAnsiTheme="majorHAnsi"/>
          <w:i/>
          <w:iCs/>
          <w:sz w:val="24"/>
          <w:szCs w:val="24"/>
        </w:rPr>
        <w:t>force majeure</w:t>
      </w:r>
      <w:r w:rsidRPr="006849EE">
        <w:rPr>
          <w:rFonts w:asciiTheme="majorHAnsi" w:hAnsiTheme="majorHAnsi"/>
          <w:sz w:val="24"/>
          <w:szCs w:val="24"/>
        </w:rPr>
        <w:t xml:space="preserve"> or other uncontrollable events. The Court underscored that such gaps cannot be allowed to balloon indefinitely without a credible, time-bound liquidation plan. </w:t>
      </w:r>
    </w:p>
    <w:p w14:paraId="0A8E2578" w14:textId="77777777" w:rsidR="0047486D"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rPr>
      </w:pPr>
      <w:proofErr w:type="gramStart"/>
      <w:r w:rsidRPr="006849EE">
        <w:rPr>
          <w:rFonts w:asciiTheme="majorHAnsi" w:hAnsiTheme="majorHAnsi"/>
          <w:sz w:val="24"/>
          <w:szCs w:val="24"/>
        </w:rPr>
        <w:t xml:space="preserve">In </w:t>
      </w:r>
      <w:r w:rsidRPr="006849EE">
        <w:rPr>
          <w:rFonts w:asciiTheme="majorHAnsi" w:hAnsiTheme="majorHAnsi" w:cs="Arial"/>
          <w:color w:val="auto"/>
          <w:sz w:val="24"/>
          <w:szCs w:val="24"/>
        </w:rPr>
        <w:t>light</w:t>
      </w:r>
      <w:r w:rsidRPr="006849EE">
        <w:rPr>
          <w:rFonts w:asciiTheme="majorHAnsi" w:hAnsiTheme="majorHAnsi"/>
          <w:sz w:val="24"/>
          <w:szCs w:val="24"/>
        </w:rPr>
        <w:t xml:space="preserve"> of</w:t>
      </w:r>
      <w:proofErr w:type="gramEnd"/>
      <w:r w:rsidRPr="006849EE">
        <w:rPr>
          <w:rFonts w:asciiTheme="majorHAnsi" w:hAnsiTheme="majorHAnsi"/>
          <w:sz w:val="24"/>
          <w:szCs w:val="24"/>
        </w:rPr>
        <w:t xml:space="preserve"> the foregoing, DVC submits that the principles laid down by the Supreme Court provide compelling support for adjustment of the entire recoverable gap (including carrying cost) through appropriate tariff increase in the MYT period. Any fresh or carried-forward shortfall cannot be allowed to remain dormant on account of regulatory inaction. In fact, to respect the statutory/policy mandate under the National Tariff Policy, 2016 (and earlier 2006 version) and the statutory obligations under Rule 23, this Hon’ble Commission must ensure prompt liquidation via tariff adjustment, failing, which it risks repeating the “regulatory failure” that the Hon’ble Supreme Court struck down in the BSES case.</w:t>
      </w:r>
    </w:p>
    <w:p w14:paraId="0A4035A7" w14:textId="77777777" w:rsidR="0047486D"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rPr>
      </w:pPr>
      <w:r w:rsidRPr="006849EE">
        <w:rPr>
          <w:rFonts w:asciiTheme="majorHAnsi" w:hAnsiTheme="majorHAnsi" w:cs="Arial"/>
          <w:color w:val="auto"/>
          <w:sz w:val="24"/>
          <w:szCs w:val="24"/>
        </w:rPr>
        <w:t>Accordingly</w:t>
      </w:r>
      <w:r w:rsidRPr="006849EE">
        <w:rPr>
          <w:rFonts w:asciiTheme="majorHAnsi" w:hAnsiTheme="majorHAnsi"/>
          <w:sz w:val="24"/>
          <w:szCs w:val="24"/>
        </w:rPr>
        <w:t xml:space="preserve">, for the purpose of determination of the </w:t>
      </w:r>
      <w:r w:rsidRPr="006849EE">
        <w:rPr>
          <w:rStyle w:val="Strong"/>
          <w:rFonts w:asciiTheme="majorHAnsi" w:hAnsiTheme="majorHAnsi"/>
          <w:b w:val="0"/>
          <w:bCs w:val="0"/>
          <w:sz w:val="24"/>
          <w:szCs w:val="24"/>
        </w:rPr>
        <w:t>ARR for the MYT Control Period FY 2026-27 to FY 2030-31</w:t>
      </w:r>
      <w:r w:rsidRPr="006849EE">
        <w:rPr>
          <w:rFonts w:asciiTheme="majorHAnsi" w:hAnsiTheme="majorHAnsi"/>
          <w:sz w:val="24"/>
          <w:szCs w:val="24"/>
        </w:rPr>
        <w:t xml:space="preserve">, DVC prays that the entire revenue gap firm FY 2012-13 to FY 2025-26 be duly factored into the computation of revenue requirement. Only such complete adjustment of past period shortfalls can ensure that the determination of ARR for the MYT period is based on correct, complete, and statutorily compliant financial data, and that the revenue-neutrality mandated for distribution </w:t>
      </w:r>
      <w:proofErr w:type="gramStart"/>
      <w:r w:rsidRPr="006849EE">
        <w:rPr>
          <w:rFonts w:asciiTheme="majorHAnsi" w:hAnsiTheme="majorHAnsi"/>
          <w:sz w:val="24"/>
          <w:szCs w:val="24"/>
        </w:rPr>
        <w:t>licensees</w:t>
      </w:r>
      <w:proofErr w:type="gramEnd"/>
      <w:r w:rsidRPr="006849EE">
        <w:rPr>
          <w:rFonts w:asciiTheme="majorHAnsi" w:hAnsiTheme="majorHAnsi"/>
          <w:sz w:val="24"/>
          <w:szCs w:val="24"/>
        </w:rPr>
        <w:t xml:space="preserve"> is maintained.</w:t>
      </w:r>
    </w:p>
    <w:p w14:paraId="5C56FEF7" w14:textId="30E642B1" w:rsidR="0047486D"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rPr>
      </w:pPr>
      <w:r w:rsidRPr="006849EE">
        <w:rPr>
          <w:rFonts w:asciiTheme="majorHAnsi" w:hAnsiTheme="majorHAnsi"/>
          <w:sz w:val="24"/>
          <w:szCs w:val="24"/>
        </w:rPr>
        <w:t xml:space="preserve">In this regard, it is submitted that the proceedings in O.P. No. 1 of 2025, initiated by the </w:t>
      </w:r>
      <w:r w:rsidRPr="006849EE">
        <w:rPr>
          <w:rFonts w:asciiTheme="majorHAnsi" w:hAnsiTheme="majorHAnsi" w:cs="Arial"/>
          <w:color w:val="auto"/>
          <w:sz w:val="24"/>
          <w:szCs w:val="24"/>
        </w:rPr>
        <w:t>Hon’ble</w:t>
      </w:r>
      <w:r w:rsidRPr="006849EE">
        <w:rPr>
          <w:rFonts w:asciiTheme="majorHAnsi" w:hAnsiTheme="majorHAnsi"/>
          <w:sz w:val="24"/>
          <w:szCs w:val="24"/>
        </w:rPr>
        <w:t xml:space="preserve"> APTEL pursuant to the BSES Judgment of the Hon’ble Supreme Court</w:t>
      </w:r>
      <w:r w:rsidR="001B7CA0" w:rsidRPr="006849EE">
        <w:rPr>
          <w:rFonts w:asciiTheme="majorHAnsi" w:hAnsiTheme="majorHAnsi"/>
          <w:sz w:val="24"/>
          <w:szCs w:val="24"/>
        </w:rPr>
        <w:t xml:space="preserve"> (attached as </w:t>
      </w:r>
      <w:r w:rsidR="001B7CA0" w:rsidRPr="006849EE">
        <w:rPr>
          <w:rFonts w:asciiTheme="majorHAnsi" w:hAnsiTheme="majorHAnsi"/>
          <w:b/>
          <w:bCs/>
          <w:sz w:val="24"/>
          <w:szCs w:val="24"/>
        </w:rPr>
        <w:t>ANNEXURE-10</w:t>
      </w:r>
      <w:r w:rsidR="00FC3FB8" w:rsidRPr="006849EE">
        <w:rPr>
          <w:rFonts w:asciiTheme="majorHAnsi" w:hAnsiTheme="majorHAnsi"/>
          <w:sz w:val="24"/>
          <w:szCs w:val="24"/>
        </w:rPr>
        <w:t>)</w:t>
      </w:r>
      <w:r w:rsidRPr="006849EE">
        <w:rPr>
          <w:rFonts w:asciiTheme="majorHAnsi" w:hAnsiTheme="majorHAnsi"/>
          <w:sz w:val="24"/>
          <w:szCs w:val="24"/>
        </w:rPr>
        <w:t xml:space="preserve">, directly concern the treatment of revenue gaps up to 31.03.2024, including the methodology for carry-forward, adjustment, and </w:t>
      </w:r>
      <w:proofErr w:type="spellStart"/>
      <w:r w:rsidRPr="006849EE">
        <w:rPr>
          <w:rFonts w:asciiTheme="majorHAnsi" w:hAnsiTheme="majorHAnsi"/>
          <w:sz w:val="24"/>
          <w:szCs w:val="24"/>
        </w:rPr>
        <w:t>amortisation</w:t>
      </w:r>
      <w:proofErr w:type="spellEnd"/>
      <w:r w:rsidRPr="006849EE">
        <w:rPr>
          <w:rFonts w:asciiTheme="majorHAnsi" w:hAnsiTheme="majorHAnsi"/>
          <w:sz w:val="24"/>
          <w:szCs w:val="24"/>
        </w:rPr>
        <w:t xml:space="preserve"> of such gaps under Rule 23 of the Electricity Rules, 2024. </w:t>
      </w:r>
    </w:p>
    <w:p w14:paraId="10802585" w14:textId="77777777" w:rsidR="0047486D"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rPr>
      </w:pPr>
      <w:r w:rsidRPr="006849EE">
        <w:rPr>
          <w:rFonts w:asciiTheme="majorHAnsi" w:hAnsiTheme="majorHAnsi"/>
          <w:sz w:val="24"/>
          <w:szCs w:val="24"/>
        </w:rPr>
        <w:t xml:space="preserve">Given that </w:t>
      </w:r>
      <w:r w:rsidRPr="006849EE">
        <w:rPr>
          <w:rFonts w:asciiTheme="majorHAnsi" w:hAnsiTheme="majorHAnsi" w:cs="Arial"/>
          <w:color w:val="auto"/>
          <w:sz w:val="24"/>
          <w:szCs w:val="24"/>
        </w:rPr>
        <w:t>the</w:t>
      </w:r>
      <w:r w:rsidRPr="006849EE">
        <w:rPr>
          <w:rFonts w:asciiTheme="majorHAnsi" w:hAnsiTheme="majorHAnsi"/>
          <w:sz w:val="24"/>
          <w:szCs w:val="24"/>
        </w:rPr>
        <w:t xml:space="preserve"> outcome of O.P. No. 1 of 2025 will have a bearing on the treatment of past-period revenue gaps and their </w:t>
      </w:r>
      <w:proofErr w:type="spellStart"/>
      <w:r w:rsidRPr="006849EE">
        <w:rPr>
          <w:rFonts w:asciiTheme="majorHAnsi" w:hAnsiTheme="majorHAnsi"/>
          <w:sz w:val="24"/>
          <w:szCs w:val="24"/>
        </w:rPr>
        <w:t>amortisation</w:t>
      </w:r>
      <w:proofErr w:type="spellEnd"/>
      <w:r w:rsidRPr="006849EE">
        <w:rPr>
          <w:rFonts w:asciiTheme="majorHAnsi" w:hAnsiTheme="majorHAnsi"/>
          <w:sz w:val="24"/>
          <w:szCs w:val="24"/>
        </w:rPr>
        <w:t xml:space="preserve"> across subsequent tariff periods, DVC respectfully prays that, if the final order in O.P. No. 1 of 2025 is pronounced prior to the issuance of the MYT Tariff Order for FY 2026-27 to FY 2030-31, this Hon’ble Commission may kindly take due cognizance of the same and incorporate its findings in the determination of ARR and tariff for the MYT Control Period.</w:t>
      </w:r>
    </w:p>
    <w:p w14:paraId="5B61A11E" w14:textId="2A534998" w:rsidR="0047335B" w:rsidRPr="006849EE" w:rsidRDefault="0047486D" w:rsidP="00FB18C1">
      <w:pPr>
        <w:numPr>
          <w:ilvl w:val="0"/>
          <w:numId w:val="1"/>
        </w:numPr>
        <w:tabs>
          <w:tab w:val="clear" w:pos="1080"/>
          <w:tab w:val="num" w:pos="735"/>
        </w:tabs>
        <w:spacing w:line="360" w:lineRule="auto"/>
        <w:ind w:left="734" w:hanging="735"/>
        <w:jc w:val="both"/>
        <w:rPr>
          <w:rFonts w:asciiTheme="majorHAnsi" w:hAnsiTheme="majorHAnsi"/>
          <w:sz w:val="24"/>
          <w:szCs w:val="24"/>
        </w:rPr>
      </w:pPr>
      <w:r w:rsidRPr="006849EE">
        <w:rPr>
          <w:rFonts w:asciiTheme="majorHAnsi" w:hAnsiTheme="majorHAnsi"/>
          <w:sz w:val="24"/>
          <w:szCs w:val="24"/>
        </w:rPr>
        <w:t xml:space="preserve">DVC </w:t>
      </w:r>
      <w:proofErr w:type="gramStart"/>
      <w:r w:rsidRPr="006849EE">
        <w:rPr>
          <w:rFonts w:asciiTheme="majorHAnsi" w:hAnsiTheme="majorHAnsi" w:cs="Arial"/>
          <w:color w:val="auto"/>
          <w:sz w:val="24"/>
          <w:szCs w:val="24"/>
        </w:rPr>
        <w:t>craves</w:t>
      </w:r>
      <w:r w:rsidRPr="006849EE">
        <w:rPr>
          <w:rFonts w:asciiTheme="majorHAnsi" w:hAnsiTheme="majorHAnsi"/>
          <w:sz w:val="24"/>
          <w:szCs w:val="24"/>
        </w:rPr>
        <w:t xml:space="preserve"> leave</w:t>
      </w:r>
      <w:proofErr w:type="gramEnd"/>
      <w:r w:rsidRPr="006849EE">
        <w:rPr>
          <w:rFonts w:asciiTheme="majorHAnsi" w:hAnsiTheme="majorHAnsi"/>
          <w:sz w:val="24"/>
          <w:szCs w:val="24"/>
        </w:rPr>
        <w:t xml:space="preserve"> to submit all additional data, workings, and documents that may be required or directed during the processing of this MYT Petition. DVC also seeks </w:t>
      </w:r>
      <w:r w:rsidRPr="006849EE">
        <w:rPr>
          <w:rFonts w:asciiTheme="majorHAnsi" w:hAnsiTheme="majorHAnsi"/>
          <w:sz w:val="24"/>
          <w:szCs w:val="24"/>
        </w:rPr>
        <w:lastRenderedPageBreak/>
        <w:t>leave to suitably revise the ARR for the relevant MYT years should there be any change arising from:</w:t>
      </w:r>
      <w:r w:rsidRPr="006849EE">
        <w:rPr>
          <w:rFonts w:asciiTheme="majorHAnsi" w:hAnsiTheme="majorHAnsi"/>
          <w:sz w:val="24"/>
          <w:szCs w:val="24"/>
        </w:rPr>
        <w:tab/>
      </w:r>
      <w:r w:rsidRPr="006849EE">
        <w:rPr>
          <w:rFonts w:asciiTheme="majorHAnsi" w:hAnsiTheme="majorHAnsi"/>
          <w:sz w:val="24"/>
          <w:szCs w:val="24"/>
        </w:rPr>
        <w:br/>
        <w:t>(a) issuance of True-up Orders by the Hon’ble CERC for the relevant period;</w:t>
      </w:r>
      <w:r w:rsidRPr="006849EE">
        <w:rPr>
          <w:rFonts w:asciiTheme="majorHAnsi" w:hAnsiTheme="majorHAnsi"/>
          <w:sz w:val="24"/>
          <w:szCs w:val="24"/>
        </w:rPr>
        <w:br/>
        <w:t xml:space="preserve">(b) judicial or appellate outcomes in any connected proceedings, including the Order in </w:t>
      </w:r>
      <w:r w:rsidRPr="006849EE">
        <w:rPr>
          <w:rStyle w:val="Strong"/>
          <w:rFonts w:asciiTheme="majorHAnsi" w:hAnsiTheme="majorHAnsi"/>
          <w:b w:val="0"/>
          <w:bCs w:val="0"/>
          <w:sz w:val="24"/>
          <w:szCs w:val="24"/>
        </w:rPr>
        <w:t>O.P. No. 1 of 2025</w:t>
      </w:r>
      <w:r w:rsidRPr="006849EE">
        <w:rPr>
          <w:rFonts w:asciiTheme="majorHAnsi" w:hAnsiTheme="majorHAnsi"/>
          <w:sz w:val="24"/>
          <w:szCs w:val="24"/>
        </w:rPr>
        <w:t>; and</w:t>
      </w:r>
      <w:r w:rsidRPr="006849EE">
        <w:rPr>
          <w:rFonts w:asciiTheme="majorHAnsi" w:hAnsiTheme="majorHAnsi"/>
          <w:sz w:val="24"/>
          <w:szCs w:val="24"/>
        </w:rPr>
        <w:tab/>
      </w:r>
      <w:r w:rsidRPr="006849EE">
        <w:rPr>
          <w:rFonts w:asciiTheme="majorHAnsi" w:hAnsiTheme="majorHAnsi"/>
          <w:sz w:val="24"/>
          <w:szCs w:val="24"/>
        </w:rPr>
        <w:br/>
        <w:t>(c) any other orders of the Hon’ble Courts/Tribunals having a bearing on tariff determination.</w:t>
      </w:r>
    </w:p>
    <w:p w14:paraId="137B7116" w14:textId="313C608F"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The soft copy of the entire petition is submitted herewith in a pen drive which includes the editable format of all the relevant computation sheets and tariff formats in addition to the scanned copy of the entire petition. </w:t>
      </w:r>
    </w:p>
    <w:p w14:paraId="01AE1AEF" w14:textId="1D4E64DA"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 xml:space="preserve">It is submitted that DVC has already paid the true-up filing fees of Rs. </w:t>
      </w:r>
      <w:r w:rsidR="004D798A" w:rsidRPr="006849EE">
        <w:rPr>
          <w:rFonts w:asciiTheme="majorHAnsi" w:eastAsiaTheme="majorEastAsia" w:hAnsiTheme="majorHAnsi" w:cs="Arial"/>
          <w:color w:val="auto"/>
          <w:sz w:val="24"/>
          <w:szCs w:val="24"/>
        </w:rPr>
        <w:t>70</w:t>
      </w:r>
      <w:r w:rsidRPr="006849EE">
        <w:rPr>
          <w:rFonts w:asciiTheme="majorHAnsi" w:eastAsiaTheme="majorEastAsia" w:hAnsiTheme="majorHAnsi" w:cs="Arial"/>
          <w:color w:val="auto"/>
          <w:sz w:val="24"/>
          <w:szCs w:val="24"/>
        </w:rPr>
        <w:t xml:space="preserve">.0 Lakhs for the </w:t>
      </w:r>
      <w:r w:rsidRPr="006849EE">
        <w:rPr>
          <w:rFonts w:asciiTheme="majorHAnsi" w:hAnsiTheme="majorHAnsi" w:cs="Arial"/>
          <w:color w:val="auto"/>
          <w:sz w:val="24"/>
          <w:szCs w:val="24"/>
        </w:rPr>
        <w:t>period</w:t>
      </w:r>
      <w:r w:rsidRPr="006849EE">
        <w:rPr>
          <w:rFonts w:asciiTheme="majorHAnsi" w:eastAsiaTheme="majorEastAsia" w:hAnsiTheme="majorHAnsi" w:cs="Arial"/>
          <w:color w:val="auto"/>
          <w:sz w:val="24"/>
          <w:szCs w:val="24"/>
        </w:rPr>
        <w:t xml:space="preserve"> FY 202</w:t>
      </w:r>
      <w:r w:rsidR="00D505E8" w:rsidRPr="006849EE">
        <w:rPr>
          <w:rFonts w:asciiTheme="majorHAnsi" w:eastAsiaTheme="majorEastAsia" w:hAnsiTheme="majorHAnsi" w:cs="Arial"/>
          <w:color w:val="auto"/>
          <w:sz w:val="24"/>
          <w:szCs w:val="24"/>
        </w:rPr>
        <w:t>6-27 to FY 2030-31</w:t>
      </w:r>
      <w:r w:rsidRPr="006849EE">
        <w:rPr>
          <w:rFonts w:asciiTheme="majorHAnsi" w:eastAsiaTheme="majorEastAsia" w:hAnsiTheme="majorHAnsi" w:cs="Arial"/>
          <w:color w:val="auto"/>
          <w:sz w:val="24"/>
          <w:szCs w:val="24"/>
        </w:rPr>
        <w:t xml:space="preserve"> along with the instant submission through electronic mode in the bank account of Hon’ble Commission (UTR No. SBIN 52</w:t>
      </w:r>
      <w:r w:rsidR="008954EB" w:rsidRPr="006849EE">
        <w:rPr>
          <w:rFonts w:asciiTheme="majorHAnsi" w:eastAsiaTheme="majorEastAsia" w:hAnsiTheme="majorHAnsi" w:cs="Arial"/>
          <w:color w:val="auto"/>
          <w:sz w:val="24"/>
          <w:szCs w:val="24"/>
        </w:rPr>
        <w:t>5</w:t>
      </w:r>
      <w:r w:rsidR="00FD08B5" w:rsidRPr="006849EE">
        <w:rPr>
          <w:rFonts w:asciiTheme="majorHAnsi" w:eastAsiaTheme="majorEastAsia" w:hAnsiTheme="majorHAnsi" w:cs="Arial"/>
          <w:color w:val="auto"/>
          <w:sz w:val="24"/>
          <w:szCs w:val="24"/>
        </w:rPr>
        <w:t>331702596</w:t>
      </w:r>
      <w:r w:rsidRPr="006849EE">
        <w:rPr>
          <w:rFonts w:asciiTheme="majorHAnsi" w:eastAsiaTheme="majorEastAsia" w:hAnsiTheme="majorHAnsi" w:cs="Arial"/>
          <w:color w:val="auto"/>
          <w:sz w:val="24"/>
          <w:szCs w:val="24"/>
        </w:rPr>
        <w:t>, dated 2</w:t>
      </w:r>
      <w:r w:rsidR="00FD08B5" w:rsidRPr="006849EE">
        <w:rPr>
          <w:rFonts w:asciiTheme="majorHAnsi" w:eastAsiaTheme="majorEastAsia" w:hAnsiTheme="majorHAnsi" w:cs="Arial"/>
          <w:color w:val="auto"/>
          <w:sz w:val="24"/>
          <w:szCs w:val="24"/>
        </w:rPr>
        <w:t>7</w:t>
      </w:r>
      <w:r w:rsidRPr="006849EE">
        <w:rPr>
          <w:rFonts w:asciiTheme="majorHAnsi" w:eastAsiaTheme="majorEastAsia" w:hAnsiTheme="majorHAnsi" w:cs="Arial"/>
          <w:color w:val="auto"/>
          <w:sz w:val="24"/>
          <w:szCs w:val="24"/>
        </w:rPr>
        <w:t>.11.202</w:t>
      </w:r>
      <w:r w:rsidR="00FD08B5" w:rsidRPr="006849EE">
        <w:rPr>
          <w:rFonts w:asciiTheme="majorHAnsi" w:eastAsiaTheme="majorEastAsia" w:hAnsiTheme="majorHAnsi" w:cs="Arial"/>
          <w:color w:val="auto"/>
          <w:sz w:val="24"/>
          <w:szCs w:val="24"/>
        </w:rPr>
        <w:t>5</w:t>
      </w:r>
      <w:r w:rsidRPr="006849EE">
        <w:rPr>
          <w:rFonts w:asciiTheme="majorHAnsi" w:eastAsiaTheme="majorEastAsia" w:hAnsiTheme="majorHAnsi" w:cs="Arial"/>
          <w:color w:val="auto"/>
          <w:sz w:val="24"/>
          <w:szCs w:val="24"/>
        </w:rPr>
        <w:t xml:space="preserve">, Indian Bank A/c No: 6605256646, IFSC: IDIB000R010), </w:t>
      </w:r>
      <w:proofErr w:type="spellStart"/>
      <w:r w:rsidRPr="006849EE">
        <w:rPr>
          <w:rFonts w:asciiTheme="majorHAnsi" w:eastAsiaTheme="majorEastAsia" w:hAnsiTheme="majorHAnsi" w:cs="Arial"/>
          <w:color w:val="auto"/>
          <w:sz w:val="24"/>
          <w:szCs w:val="24"/>
        </w:rPr>
        <w:t>Sainik</w:t>
      </w:r>
      <w:proofErr w:type="spellEnd"/>
      <w:r w:rsidRPr="006849EE">
        <w:rPr>
          <w:rFonts w:asciiTheme="majorHAnsi" w:eastAsiaTheme="majorEastAsia" w:hAnsiTheme="majorHAnsi" w:cs="Arial"/>
          <w:color w:val="auto"/>
          <w:sz w:val="24"/>
          <w:szCs w:val="24"/>
        </w:rPr>
        <w:t xml:space="preserve"> Bhavan, Main Road, Ranchi-834001. DVC therefore prays before this Hon’ble </w:t>
      </w:r>
      <w:proofErr w:type="gramStart"/>
      <w:r w:rsidRPr="006849EE">
        <w:rPr>
          <w:rFonts w:asciiTheme="majorHAnsi" w:eastAsiaTheme="majorEastAsia" w:hAnsiTheme="majorHAnsi" w:cs="Arial"/>
          <w:color w:val="auto"/>
          <w:sz w:val="24"/>
          <w:szCs w:val="24"/>
        </w:rPr>
        <w:t>Commission to</w:t>
      </w:r>
      <w:proofErr w:type="gramEnd"/>
      <w:r w:rsidRPr="006849EE">
        <w:rPr>
          <w:rFonts w:asciiTheme="majorHAnsi" w:eastAsiaTheme="majorEastAsia" w:hAnsiTheme="majorHAnsi" w:cs="Arial"/>
          <w:color w:val="auto"/>
          <w:sz w:val="24"/>
          <w:szCs w:val="24"/>
        </w:rPr>
        <w:t xml:space="preserve"> kindly acknowledge the receipt. </w:t>
      </w:r>
    </w:p>
    <w:p w14:paraId="0F4BF04F" w14:textId="616C0766" w:rsidR="00CA1875" w:rsidRPr="006849EE" w:rsidRDefault="00CA1875" w:rsidP="00FB18C1">
      <w:pPr>
        <w:numPr>
          <w:ilvl w:val="0"/>
          <w:numId w:val="1"/>
        </w:numPr>
        <w:tabs>
          <w:tab w:val="clear" w:pos="1080"/>
          <w:tab w:val="num" w:pos="735"/>
        </w:tabs>
        <w:spacing w:line="360" w:lineRule="auto"/>
        <w:ind w:left="734" w:hanging="735"/>
        <w:jc w:val="both"/>
        <w:rPr>
          <w:rFonts w:asciiTheme="majorHAnsi" w:eastAsiaTheme="majorEastAsia" w:hAnsiTheme="majorHAnsi" w:cs="Arial"/>
          <w:color w:val="auto"/>
          <w:sz w:val="24"/>
          <w:szCs w:val="24"/>
        </w:rPr>
      </w:pPr>
      <w:r w:rsidRPr="006849EE">
        <w:rPr>
          <w:rFonts w:asciiTheme="majorHAnsi" w:eastAsiaTheme="majorEastAsia" w:hAnsiTheme="majorHAnsi" w:cs="Arial"/>
          <w:color w:val="auto"/>
          <w:sz w:val="24"/>
          <w:szCs w:val="24"/>
        </w:rPr>
        <w:t>In the facts and circumstances mentioned hereinabove, it is respectfully submitted that this Hon’ble Commission may be pleased to approve the ARR &amp; Tariff for FY 2025-26 as per the instant submission and further additional submissions, if any, pertaining to distribution and retail supply of electricity to the consumers and licensees for the Damodar Valley Area falling in the state of Jharkhand.</w:t>
      </w:r>
    </w:p>
    <w:p w14:paraId="3BC1C815" w14:textId="77777777" w:rsidR="00B42FF0" w:rsidRPr="006849EE" w:rsidRDefault="00B42FF0" w:rsidP="00CA1875">
      <w:pPr>
        <w:rPr>
          <w:rFonts w:asciiTheme="majorHAnsi" w:hAnsiTheme="majorHAnsi" w:cs="Arial"/>
          <w:color w:val="FF0000"/>
          <w:sz w:val="24"/>
          <w:szCs w:val="24"/>
        </w:rPr>
      </w:pPr>
    </w:p>
    <w:p w14:paraId="14259B2F" w14:textId="77777777" w:rsidR="00CA1875" w:rsidRPr="006849EE" w:rsidRDefault="00CA1875" w:rsidP="00CA1875">
      <w:pPr>
        <w:rPr>
          <w:rFonts w:asciiTheme="majorHAnsi" w:hAnsiTheme="majorHAnsi" w:cs="Arial"/>
          <w:color w:val="FF0000"/>
          <w:sz w:val="24"/>
          <w:szCs w:val="24"/>
        </w:rPr>
      </w:pPr>
    </w:p>
    <w:p w14:paraId="01BF0D7B" w14:textId="77777777" w:rsidR="00CA1875" w:rsidRPr="006849EE" w:rsidRDefault="00CA1875" w:rsidP="00CA1875">
      <w:pPr>
        <w:rPr>
          <w:rFonts w:asciiTheme="majorHAnsi" w:hAnsiTheme="majorHAnsi" w:cs="Arial"/>
          <w:color w:val="FF0000"/>
          <w:sz w:val="24"/>
          <w:szCs w:val="24"/>
        </w:rPr>
      </w:pPr>
    </w:p>
    <w:p w14:paraId="1974CC07" w14:textId="77777777" w:rsidR="00CA1875" w:rsidRPr="006849EE" w:rsidRDefault="00CA1875" w:rsidP="00CA1875">
      <w:pPr>
        <w:autoSpaceDE w:val="0"/>
        <w:autoSpaceDN w:val="0"/>
        <w:adjustRightInd w:val="0"/>
        <w:spacing w:after="120" w:line="360" w:lineRule="auto"/>
        <w:ind w:left="426"/>
        <w:jc w:val="center"/>
        <w:rPr>
          <w:rFonts w:asciiTheme="majorHAnsi" w:hAnsiTheme="majorHAnsi" w:cs="Arial"/>
          <w:b/>
          <w:color w:val="auto"/>
          <w:sz w:val="24"/>
          <w:szCs w:val="24"/>
          <w:u w:val="single"/>
        </w:rPr>
      </w:pPr>
      <w:r w:rsidRPr="006849EE">
        <w:rPr>
          <w:rFonts w:asciiTheme="majorHAnsi" w:hAnsiTheme="majorHAnsi" w:cs="Arial"/>
          <w:b/>
          <w:color w:val="auto"/>
          <w:sz w:val="24"/>
          <w:szCs w:val="24"/>
          <w:u w:val="single"/>
        </w:rPr>
        <w:t>PRAYER TO THE HONOURABLE COMMISSION</w:t>
      </w:r>
    </w:p>
    <w:p w14:paraId="30C3DFB2" w14:textId="77777777" w:rsidR="00CA1875" w:rsidRPr="006849EE" w:rsidRDefault="00CA1875" w:rsidP="00CA1875">
      <w:pPr>
        <w:spacing w:line="360" w:lineRule="auto"/>
        <w:rPr>
          <w:rFonts w:asciiTheme="majorHAnsi" w:hAnsiTheme="majorHAnsi" w:cs="Arial"/>
          <w:bCs/>
          <w:color w:val="auto"/>
          <w:sz w:val="24"/>
          <w:szCs w:val="24"/>
        </w:rPr>
      </w:pPr>
      <w:r w:rsidRPr="006849EE">
        <w:rPr>
          <w:rFonts w:asciiTheme="majorHAnsi" w:hAnsiTheme="majorHAnsi" w:cs="Arial"/>
          <w:bCs/>
          <w:color w:val="auto"/>
          <w:sz w:val="24"/>
          <w:szCs w:val="24"/>
        </w:rPr>
        <w:t xml:space="preserve">        It is respectfully </w:t>
      </w:r>
      <w:proofErr w:type="gramStart"/>
      <w:r w:rsidRPr="006849EE">
        <w:rPr>
          <w:rFonts w:asciiTheme="majorHAnsi" w:hAnsiTheme="majorHAnsi" w:cs="Arial"/>
          <w:bCs/>
          <w:color w:val="auto"/>
          <w:sz w:val="24"/>
          <w:szCs w:val="24"/>
        </w:rPr>
        <w:t>submitted</w:t>
      </w:r>
      <w:proofErr w:type="gramEnd"/>
      <w:r w:rsidRPr="006849EE">
        <w:rPr>
          <w:rFonts w:asciiTheme="majorHAnsi" w:hAnsiTheme="majorHAnsi" w:cs="Arial"/>
          <w:bCs/>
          <w:color w:val="auto"/>
          <w:sz w:val="24"/>
          <w:szCs w:val="24"/>
        </w:rPr>
        <w:t xml:space="preserve"> that this Hon’ble Commission may be pleased to:</w:t>
      </w:r>
    </w:p>
    <w:p w14:paraId="65696E27" w14:textId="77777777" w:rsidR="00CA1875" w:rsidRPr="006849EE" w:rsidRDefault="00CA1875" w:rsidP="00CA1875">
      <w:pPr>
        <w:spacing w:line="360" w:lineRule="auto"/>
        <w:ind w:left="851" w:hanging="851"/>
        <w:rPr>
          <w:rFonts w:asciiTheme="majorHAnsi" w:hAnsiTheme="majorHAnsi" w:cs="Arial"/>
          <w:bCs/>
          <w:color w:val="FF0000"/>
          <w:sz w:val="24"/>
          <w:szCs w:val="24"/>
        </w:rPr>
      </w:pPr>
    </w:p>
    <w:p w14:paraId="18B3BABE" w14:textId="574D01AB" w:rsidR="00CA1875" w:rsidRPr="006849EE" w:rsidRDefault="00CA1875" w:rsidP="00B90377">
      <w:pPr>
        <w:numPr>
          <w:ilvl w:val="0"/>
          <w:numId w:val="15"/>
        </w:numPr>
        <w:autoSpaceDE w:val="0"/>
        <w:autoSpaceDN w:val="0"/>
        <w:adjustRightInd w:val="0"/>
        <w:spacing w:after="120" w:line="360" w:lineRule="auto"/>
        <w:ind w:left="1350" w:hanging="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Admit the present petition, determine the Aggregate Revenue Requirement (ARR) </w:t>
      </w:r>
      <w:r w:rsidR="0097052A" w:rsidRPr="006849EE">
        <w:rPr>
          <w:rFonts w:asciiTheme="majorHAnsi" w:hAnsiTheme="majorHAnsi" w:cs="Arial"/>
          <w:color w:val="auto"/>
          <w:sz w:val="24"/>
          <w:szCs w:val="24"/>
        </w:rPr>
        <w:t xml:space="preserve">for FY 2026-27 to FY 2030-31 </w:t>
      </w:r>
      <w:r w:rsidRPr="006849EE">
        <w:rPr>
          <w:rFonts w:asciiTheme="majorHAnsi" w:hAnsiTheme="majorHAnsi" w:cs="Arial"/>
          <w:color w:val="auto"/>
          <w:sz w:val="24"/>
          <w:szCs w:val="24"/>
        </w:rPr>
        <w:t>and Retail Tariff for FY 202</w:t>
      </w:r>
      <w:r w:rsidR="0097052A" w:rsidRPr="006849EE">
        <w:rPr>
          <w:rFonts w:asciiTheme="majorHAnsi" w:hAnsiTheme="majorHAnsi" w:cs="Arial"/>
          <w:color w:val="auto"/>
          <w:sz w:val="24"/>
          <w:szCs w:val="24"/>
        </w:rPr>
        <w:t>6</w:t>
      </w:r>
      <w:r w:rsidRPr="006849EE">
        <w:rPr>
          <w:rFonts w:asciiTheme="majorHAnsi" w:hAnsiTheme="majorHAnsi" w:cs="Arial"/>
          <w:color w:val="auto"/>
          <w:sz w:val="24"/>
          <w:szCs w:val="24"/>
        </w:rPr>
        <w:t>-2</w:t>
      </w:r>
      <w:r w:rsidR="0097052A" w:rsidRPr="006849EE">
        <w:rPr>
          <w:rFonts w:asciiTheme="majorHAnsi" w:hAnsiTheme="majorHAnsi" w:cs="Arial"/>
          <w:color w:val="auto"/>
          <w:sz w:val="24"/>
          <w:szCs w:val="24"/>
        </w:rPr>
        <w:t>7</w:t>
      </w:r>
      <w:r w:rsidRPr="006849EE">
        <w:rPr>
          <w:rFonts w:asciiTheme="majorHAnsi" w:hAnsiTheme="majorHAnsi" w:cs="Arial"/>
          <w:color w:val="auto"/>
          <w:sz w:val="24"/>
          <w:szCs w:val="24"/>
        </w:rPr>
        <w:t xml:space="preserve"> based on the submissions herein made by </w:t>
      </w:r>
      <w:proofErr w:type="gramStart"/>
      <w:r w:rsidR="00357B7D" w:rsidRPr="006849EE">
        <w:rPr>
          <w:rFonts w:asciiTheme="majorHAnsi" w:hAnsiTheme="majorHAnsi" w:cs="Arial"/>
          <w:color w:val="auto"/>
          <w:sz w:val="24"/>
          <w:szCs w:val="24"/>
        </w:rPr>
        <w:t>DVC;</w:t>
      </w:r>
      <w:proofErr w:type="gramEnd"/>
    </w:p>
    <w:p w14:paraId="420FC611" w14:textId="7E642826" w:rsidR="00CA1875" w:rsidRPr="006849EE" w:rsidRDefault="00CA1875" w:rsidP="00B90377">
      <w:pPr>
        <w:numPr>
          <w:ilvl w:val="0"/>
          <w:numId w:val="15"/>
        </w:numPr>
        <w:autoSpaceDE w:val="0"/>
        <w:autoSpaceDN w:val="0"/>
        <w:adjustRightInd w:val="0"/>
        <w:spacing w:after="120" w:line="360" w:lineRule="auto"/>
        <w:ind w:left="1350" w:hanging="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Determine the new tariff schedule for applicable category of supply considering the </w:t>
      </w:r>
      <w:r w:rsidR="00357B7D" w:rsidRPr="006849EE">
        <w:rPr>
          <w:rFonts w:asciiTheme="majorHAnsi" w:hAnsiTheme="majorHAnsi" w:cs="Arial"/>
          <w:color w:val="auto"/>
          <w:sz w:val="24"/>
          <w:szCs w:val="24"/>
        </w:rPr>
        <w:t>revenue gap</w:t>
      </w:r>
      <w:r w:rsidRPr="006849EE">
        <w:rPr>
          <w:rFonts w:asciiTheme="majorHAnsi" w:hAnsiTheme="majorHAnsi" w:cs="Arial"/>
          <w:color w:val="auto"/>
          <w:sz w:val="24"/>
          <w:szCs w:val="24"/>
        </w:rPr>
        <w:t xml:space="preserve"> based on the submissions made in the present </w:t>
      </w:r>
      <w:proofErr w:type="gramStart"/>
      <w:r w:rsidRPr="006849EE">
        <w:rPr>
          <w:rFonts w:asciiTheme="majorHAnsi" w:hAnsiTheme="majorHAnsi" w:cs="Arial"/>
          <w:color w:val="auto"/>
          <w:sz w:val="24"/>
          <w:szCs w:val="24"/>
        </w:rPr>
        <w:t>petition;</w:t>
      </w:r>
      <w:proofErr w:type="gramEnd"/>
      <w:r w:rsidRPr="006849EE">
        <w:rPr>
          <w:rFonts w:asciiTheme="majorHAnsi" w:hAnsiTheme="majorHAnsi" w:cs="Arial"/>
          <w:color w:val="auto"/>
          <w:sz w:val="24"/>
          <w:szCs w:val="24"/>
        </w:rPr>
        <w:t xml:space="preserve"> </w:t>
      </w:r>
    </w:p>
    <w:p w14:paraId="722E591B" w14:textId="77777777" w:rsidR="00CA1875" w:rsidRPr="006849EE" w:rsidRDefault="00CA1875" w:rsidP="00B90377">
      <w:pPr>
        <w:numPr>
          <w:ilvl w:val="0"/>
          <w:numId w:val="15"/>
        </w:numPr>
        <w:autoSpaceDE w:val="0"/>
        <w:autoSpaceDN w:val="0"/>
        <w:adjustRightInd w:val="0"/>
        <w:spacing w:after="120" w:line="360" w:lineRule="auto"/>
        <w:ind w:left="1350" w:hanging="720"/>
        <w:jc w:val="both"/>
        <w:rPr>
          <w:rFonts w:asciiTheme="majorHAnsi" w:hAnsiTheme="majorHAnsi" w:cs="Arial"/>
          <w:color w:val="auto"/>
          <w:sz w:val="24"/>
          <w:szCs w:val="24"/>
        </w:rPr>
      </w:pPr>
      <w:r w:rsidRPr="006849EE">
        <w:rPr>
          <w:rFonts w:asciiTheme="majorHAnsi" w:hAnsiTheme="majorHAnsi" w:cs="Arial"/>
          <w:color w:val="auto"/>
          <w:sz w:val="24"/>
          <w:szCs w:val="24"/>
        </w:rPr>
        <w:lastRenderedPageBreak/>
        <w:t>Review the regulatory assets created from the period of FY 2012-13 to FY 2025-26, as provided above and approve roadmap for recovery of the same.</w:t>
      </w:r>
    </w:p>
    <w:p w14:paraId="771D6654" w14:textId="77777777" w:rsidR="00CA1875" w:rsidRPr="006849EE" w:rsidRDefault="00CA1875" w:rsidP="00B90377">
      <w:pPr>
        <w:numPr>
          <w:ilvl w:val="0"/>
          <w:numId w:val="15"/>
        </w:numPr>
        <w:autoSpaceDE w:val="0"/>
        <w:autoSpaceDN w:val="0"/>
        <w:adjustRightInd w:val="0"/>
        <w:spacing w:after="120" w:line="360" w:lineRule="auto"/>
        <w:ind w:left="1350" w:hanging="720"/>
        <w:jc w:val="both"/>
        <w:rPr>
          <w:rFonts w:asciiTheme="majorHAnsi" w:hAnsiTheme="majorHAnsi" w:cs="Arial"/>
          <w:color w:val="auto"/>
          <w:sz w:val="24"/>
          <w:szCs w:val="24"/>
        </w:rPr>
      </w:pPr>
      <w:r w:rsidRPr="006849EE">
        <w:rPr>
          <w:rFonts w:asciiTheme="majorHAnsi" w:hAnsiTheme="majorHAnsi" w:cs="Arial"/>
          <w:color w:val="auto"/>
          <w:sz w:val="24"/>
          <w:szCs w:val="24"/>
        </w:rPr>
        <w:t xml:space="preserve">Settle other commercial terms and conditions as proposed in the instant </w:t>
      </w:r>
      <w:proofErr w:type="gramStart"/>
      <w:r w:rsidRPr="006849EE">
        <w:rPr>
          <w:rFonts w:asciiTheme="majorHAnsi" w:hAnsiTheme="majorHAnsi" w:cs="Arial"/>
          <w:color w:val="auto"/>
          <w:sz w:val="24"/>
          <w:szCs w:val="24"/>
        </w:rPr>
        <w:t>petition;</w:t>
      </w:r>
      <w:proofErr w:type="gramEnd"/>
    </w:p>
    <w:p w14:paraId="124F0D49" w14:textId="77777777" w:rsidR="00CA1875" w:rsidRPr="006849EE" w:rsidRDefault="00CA1875" w:rsidP="00B90377">
      <w:pPr>
        <w:numPr>
          <w:ilvl w:val="0"/>
          <w:numId w:val="15"/>
        </w:numPr>
        <w:autoSpaceDE w:val="0"/>
        <w:autoSpaceDN w:val="0"/>
        <w:adjustRightInd w:val="0"/>
        <w:spacing w:after="120" w:line="360" w:lineRule="auto"/>
        <w:ind w:left="1350" w:hanging="720"/>
        <w:jc w:val="both"/>
        <w:rPr>
          <w:rFonts w:asciiTheme="majorHAnsi" w:hAnsiTheme="majorHAnsi" w:cs="Arial"/>
          <w:color w:val="auto"/>
          <w:sz w:val="24"/>
          <w:szCs w:val="24"/>
        </w:rPr>
      </w:pPr>
      <w:r w:rsidRPr="006849EE">
        <w:rPr>
          <w:rFonts w:asciiTheme="majorHAnsi" w:hAnsiTheme="majorHAnsi" w:cs="Arial"/>
          <w:color w:val="auto"/>
          <w:sz w:val="24"/>
          <w:szCs w:val="24"/>
        </w:rPr>
        <w:t>Pass such other Order(s) as the Hon’ble Commission may deem fit and proper keeping in view the facts and circumstances of the case.</w:t>
      </w:r>
    </w:p>
    <w:p w14:paraId="7DBD6AB4" w14:textId="77777777" w:rsidR="00CA1875" w:rsidRPr="006849EE" w:rsidRDefault="00CA1875" w:rsidP="00CA1875">
      <w:pPr>
        <w:autoSpaceDE w:val="0"/>
        <w:autoSpaceDN w:val="0"/>
        <w:adjustRightInd w:val="0"/>
        <w:spacing w:after="120" w:line="360" w:lineRule="auto"/>
        <w:ind w:left="851"/>
        <w:jc w:val="both"/>
        <w:rPr>
          <w:rFonts w:asciiTheme="majorHAnsi" w:hAnsiTheme="majorHAnsi" w:cs="Arial"/>
          <w:color w:val="auto"/>
          <w:sz w:val="24"/>
          <w:szCs w:val="24"/>
        </w:rPr>
      </w:pPr>
    </w:p>
    <w:p w14:paraId="66B37CA4" w14:textId="77777777" w:rsidR="00CA1875" w:rsidRPr="006849EE" w:rsidRDefault="00CA1875" w:rsidP="00CA1875">
      <w:pPr>
        <w:autoSpaceDE w:val="0"/>
        <w:autoSpaceDN w:val="0"/>
        <w:adjustRightInd w:val="0"/>
        <w:spacing w:after="120" w:line="360" w:lineRule="auto"/>
        <w:ind w:left="851"/>
        <w:jc w:val="both"/>
        <w:rPr>
          <w:rFonts w:asciiTheme="majorHAnsi" w:hAnsiTheme="majorHAnsi" w:cs="Arial"/>
          <w:color w:val="auto"/>
          <w:sz w:val="24"/>
          <w:szCs w:val="24"/>
        </w:rPr>
      </w:pPr>
    </w:p>
    <w:p w14:paraId="0EC18629" w14:textId="77777777" w:rsidR="00CA1875" w:rsidRPr="006849EE" w:rsidRDefault="00CA1875" w:rsidP="00CA1875">
      <w:pPr>
        <w:autoSpaceDE w:val="0"/>
        <w:autoSpaceDN w:val="0"/>
        <w:adjustRightInd w:val="0"/>
        <w:spacing w:after="120" w:line="360" w:lineRule="auto"/>
        <w:ind w:left="851"/>
        <w:jc w:val="both"/>
        <w:rPr>
          <w:rFonts w:asciiTheme="majorHAnsi" w:hAnsiTheme="majorHAnsi" w:cs="Arial"/>
          <w:color w:val="auto"/>
          <w:sz w:val="24"/>
          <w:szCs w:val="24"/>
        </w:rPr>
      </w:pPr>
    </w:p>
    <w:p w14:paraId="3144798F" w14:textId="77777777" w:rsidR="00CA1875" w:rsidRPr="006849EE" w:rsidRDefault="00CA1875" w:rsidP="00CA1875">
      <w:pPr>
        <w:spacing w:line="360" w:lineRule="auto"/>
        <w:rPr>
          <w:rFonts w:asciiTheme="majorHAnsi" w:hAnsiTheme="majorHAnsi" w:cs="Arial"/>
          <w:b/>
          <w:bCs/>
          <w:color w:val="auto"/>
          <w:sz w:val="24"/>
          <w:szCs w:val="24"/>
        </w:rPr>
      </w:pPr>
      <w:r w:rsidRPr="006849EE">
        <w:rPr>
          <w:rFonts w:asciiTheme="majorHAnsi" w:hAnsiTheme="majorHAnsi" w:cs="Arial"/>
          <w:b/>
          <w:bCs/>
          <w:color w:val="auto"/>
          <w:sz w:val="24"/>
          <w:szCs w:val="24"/>
        </w:rPr>
        <w:t xml:space="preserve"> </w:t>
      </w:r>
      <w:r w:rsidRPr="006849EE">
        <w:rPr>
          <w:rFonts w:asciiTheme="majorHAnsi" w:hAnsiTheme="majorHAnsi" w:cs="Arial"/>
          <w:b/>
          <w:bCs/>
          <w:color w:val="auto"/>
          <w:sz w:val="24"/>
          <w:szCs w:val="24"/>
        </w:rPr>
        <w:tab/>
        <w:t>Date:                                                         Dy. General Manager (</w:t>
      </w:r>
      <w:proofErr w:type="spellStart"/>
      <w:r w:rsidRPr="006849EE">
        <w:rPr>
          <w:rFonts w:asciiTheme="majorHAnsi" w:hAnsiTheme="majorHAnsi" w:cs="Arial"/>
          <w:b/>
          <w:bCs/>
          <w:color w:val="auto"/>
          <w:sz w:val="24"/>
          <w:szCs w:val="24"/>
        </w:rPr>
        <w:t>Comml</w:t>
      </w:r>
      <w:proofErr w:type="spellEnd"/>
      <w:r w:rsidRPr="006849EE">
        <w:rPr>
          <w:rFonts w:asciiTheme="majorHAnsi" w:hAnsiTheme="majorHAnsi" w:cs="Arial"/>
          <w:b/>
          <w:bCs/>
          <w:color w:val="auto"/>
          <w:sz w:val="24"/>
          <w:szCs w:val="24"/>
        </w:rPr>
        <w:t>)</w:t>
      </w:r>
    </w:p>
    <w:p w14:paraId="2AF8324D" w14:textId="79753E3E" w:rsidR="00CA1875" w:rsidRPr="009E365F" w:rsidRDefault="00CA1875" w:rsidP="00CA1875">
      <w:pPr>
        <w:tabs>
          <w:tab w:val="num" w:pos="4770"/>
        </w:tabs>
        <w:autoSpaceDE w:val="0"/>
        <w:autoSpaceDN w:val="0"/>
        <w:adjustRightInd w:val="0"/>
        <w:spacing w:after="120" w:line="360" w:lineRule="auto"/>
        <w:rPr>
          <w:rFonts w:asciiTheme="majorHAnsi" w:hAnsiTheme="majorHAnsi" w:cs="Arial"/>
          <w:b/>
          <w:bCs/>
          <w:color w:val="auto"/>
          <w:sz w:val="24"/>
          <w:szCs w:val="24"/>
        </w:rPr>
      </w:pPr>
      <w:r w:rsidRPr="006849EE">
        <w:rPr>
          <w:rFonts w:asciiTheme="majorHAnsi" w:hAnsiTheme="majorHAnsi" w:cs="Arial"/>
          <w:b/>
          <w:bCs/>
          <w:color w:val="auto"/>
          <w:sz w:val="24"/>
          <w:szCs w:val="24"/>
        </w:rPr>
        <w:t xml:space="preserve">           Place: Kolkata                                     DAMODAR VALLEY CORPORATION</w:t>
      </w:r>
    </w:p>
    <w:p w14:paraId="66909322" w14:textId="77777777" w:rsidR="00F15117" w:rsidRPr="009E365F" w:rsidRDefault="00F15117" w:rsidP="00F15117">
      <w:pPr>
        <w:spacing w:line="360" w:lineRule="auto"/>
        <w:jc w:val="both"/>
        <w:rPr>
          <w:rFonts w:asciiTheme="majorHAnsi" w:hAnsiTheme="majorHAnsi" w:cs="Arial"/>
          <w:color w:val="auto"/>
          <w:sz w:val="24"/>
          <w:szCs w:val="24"/>
        </w:rPr>
      </w:pPr>
    </w:p>
    <w:p w14:paraId="112CBDD0" w14:textId="77777777" w:rsidR="00F15117" w:rsidRPr="009E365F" w:rsidRDefault="00F15117" w:rsidP="00F15117">
      <w:pPr>
        <w:spacing w:line="360" w:lineRule="auto"/>
        <w:jc w:val="both"/>
        <w:rPr>
          <w:rFonts w:asciiTheme="majorHAnsi" w:hAnsiTheme="majorHAnsi" w:cs="Arial"/>
          <w:color w:val="auto"/>
          <w:sz w:val="24"/>
          <w:szCs w:val="24"/>
        </w:rPr>
      </w:pPr>
    </w:p>
    <w:p w14:paraId="0559E6F2" w14:textId="77777777" w:rsidR="00F15117" w:rsidRPr="009E365F" w:rsidRDefault="00F15117" w:rsidP="00F15117">
      <w:pPr>
        <w:spacing w:line="360" w:lineRule="auto"/>
        <w:jc w:val="both"/>
        <w:rPr>
          <w:rFonts w:asciiTheme="majorHAnsi" w:hAnsiTheme="majorHAnsi" w:cs="Arial"/>
          <w:color w:val="auto"/>
          <w:sz w:val="24"/>
          <w:szCs w:val="24"/>
        </w:rPr>
      </w:pPr>
    </w:p>
    <w:p w14:paraId="6B6C3096" w14:textId="77777777" w:rsidR="00F15117" w:rsidRPr="009E365F" w:rsidRDefault="00F15117" w:rsidP="00F15117">
      <w:pPr>
        <w:spacing w:line="360" w:lineRule="auto"/>
        <w:jc w:val="both"/>
        <w:rPr>
          <w:rFonts w:asciiTheme="majorHAnsi" w:hAnsiTheme="majorHAnsi" w:cs="Arial"/>
          <w:color w:val="auto"/>
          <w:sz w:val="24"/>
          <w:szCs w:val="24"/>
        </w:rPr>
      </w:pPr>
    </w:p>
    <w:p w14:paraId="40385B0D" w14:textId="77777777" w:rsidR="00F15117" w:rsidRPr="009E365F" w:rsidRDefault="00F15117" w:rsidP="00F15117">
      <w:pPr>
        <w:spacing w:line="360" w:lineRule="auto"/>
        <w:jc w:val="both"/>
        <w:rPr>
          <w:rFonts w:asciiTheme="majorHAnsi" w:hAnsiTheme="majorHAnsi" w:cs="Arial"/>
          <w:color w:val="auto"/>
          <w:sz w:val="24"/>
          <w:szCs w:val="24"/>
        </w:rPr>
      </w:pPr>
    </w:p>
    <w:p w14:paraId="0FF0C133" w14:textId="77777777" w:rsidR="00F15117" w:rsidRPr="009E365F" w:rsidRDefault="00F15117" w:rsidP="00F15117">
      <w:pPr>
        <w:spacing w:line="360" w:lineRule="auto"/>
        <w:jc w:val="both"/>
        <w:rPr>
          <w:rFonts w:asciiTheme="majorHAnsi" w:hAnsiTheme="majorHAnsi" w:cs="Arial"/>
          <w:color w:val="auto"/>
          <w:sz w:val="24"/>
          <w:szCs w:val="24"/>
        </w:rPr>
      </w:pPr>
    </w:p>
    <w:p w14:paraId="3B32F470" w14:textId="77777777" w:rsidR="00F15117" w:rsidRPr="009E365F" w:rsidRDefault="00F15117" w:rsidP="00F15117">
      <w:pPr>
        <w:spacing w:line="360" w:lineRule="auto"/>
        <w:jc w:val="both"/>
        <w:rPr>
          <w:rFonts w:asciiTheme="majorHAnsi" w:hAnsiTheme="majorHAnsi" w:cs="Arial"/>
          <w:color w:val="auto"/>
          <w:sz w:val="24"/>
          <w:szCs w:val="24"/>
        </w:rPr>
      </w:pPr>
    </w:p>
    <w:p w14:paraId="0E1174A8" w14:textId="77777777" w:rsidR="00963535" w:rsidRPr="009E365F" w:rsidRDefault="00963535">
      <w:pPr>
        <w:rPr>
          <w:rFonts w:asciiTheme="majorHAnsi" w:hAnsiTheme="majorHAnsi" w:cs="Arial"/>
          <w:color w:val="FF0000"/>
          <w:sz w:val="24"/>
          <w:szCs w:val="24"/>
        </w:rPr>
      </w:pPr>
    </w:p>
    <w:sectPr w:rsidR="00963535" w:rsidRPr="009E365F" w:rsidSect="004575DE">
      <w:headerReference w:type="default" r:id="rId8"/>
      <w:pgSz w:w="11907" w:h="16839" w:code="9"/>
      <w:pgMar w:top="1170" w:right="126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2B844" w14:textId="77777777" w:rsidR="00B75498" w:rsidRDefault="00B75498" w:rsidP="0053000A">
      <w:r>
        <w:separator/>
      </w:r>
    </w:p>
  </w:endnote>
  <w:endnote w:type="continuationSeparator" w:id="0">
    <w:p w14:paraId="5DD8354E" w14:textId="77777777" w:rsidR="00B75498" w:rsidRDefault="00B75498" w:rsidP="0053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AEDC2" w14:textId="77777777" w:rsidR="00B75498" w:rsidRDefault="00B75498" w:rsidP="0053000A">
      <w:r>
        <w:separator/>
      </w:r>
    </w:p>
  </w:footnote>
  <w:footnote w:type="continuationSeparator" w:id="0">
    <w:p w14:paraId="567FB042" w14:textId="77777777" w:rsidR="00B75498" w:rsidRDefault="00B75498" w:rsidP="0053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043571"/>
      <w:docPartObj>
        <w:docPartGallery w:val="Page Numbers (Top of Page)"/>
        <w:docPartUnique/>
      </w:docPartObj>
    </w:sdtPr>
    <w:sdtEndPr>
      <w:rPr>
        <w:b/>
        <w:bCs/>
        <w:noProof/>
        <w:sz w:val="28"/>
        <w:szCs w:val="28"/>
      </w:rPr>
    </w:sdtEndPr>
    <w:sdtContent>
      <w:p w14:paraId="2BFF1F53" w14:textId="77777777" w:rsidR="0053000A" w:rsidRPr="0053000A" w:rsidRDefault="0053000A">
        <w:pPr>
          <w:pStyle w:val="Header"/>
          <w:jc w:val="right"/>
          <w:rPr>
            <w:b/>
            <w:sz w:val="28"/>
            <w:szCs w:val="28"/>
          </w:rPr>
        </w:pPr>
        <w:r w:rsidRPr="0053000A">
          <w:rPr>
            <w:b/>
            <w:sz w:val="28"/>
            <w:szCs w:val="28"/>
          </w:rPr>
          <w:fldChar w:fldCharType="begin"/>
        </w:r>
        <w:r w:rsidRPr="0053000A">
          <w:rPr>
            <w:b/>
            <w:sz w:val="28"/>
            <w:szCs w:val="28"/>
          </w:rPr>
          <w:instrText xml:space="preserve"> PAGE   \* MERGEFORMAT </w:instrText>
        </w:r>
        <w:r w:rsidRPr="0053000A">
          <w:rPr>
            <w:b/>
            <w:sz w:val="28"/>
            <w:szCs w:val="28"/>
          </w:rPr>
          <w:fldChar w:fldCharType="separate"/>
        </w:r>
        <w:r w:rsidR="00342721">
          <w:rPr>
            <w:b/>
            <w:noProof/>
            <w:sz w:val="28"/>
            <w:szCs w:val="28"/>
          </w:rPr>
          <w:t>22</w:t>
        </w:r>
        <w:r w:rsidRPr="0053000A">
          <w:rPr>
            <w:b/>
            <w:noProof/>
            <w:sz w:val="28"/>
            <w:szCs w:val="28"/>
          </w:rPr>
          <w:fldChar w:fldCharType="end"/>
        </w:r>
      </w:p>
    </w:sdtContent>
  </w:sdt>
  <w:p w14:paraId="75618C77" w14:textId="77777777" w:rsidR="0053000A" w:rsidRDefault="00530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262C6"/>
    <w:multiLevelType w:val="hybridMultilevel"/>
    <w:tmpl w:val="C3809696"/>
    <w:lvl w:ilvl="0" w:tplc="FFFFFFFF">
      <w:start w:val="1"/>
      <w:numFmt w:val="decimal"/>
      <w:lvlText w:val="%1."/>
      <w:lvlJc w:val="left"/>
      <w:pPr>
        <w:tabs>
          <w:tab w:val="num" w:pos="1080"/>
        </w:tabs>
        <w:ind w:left="1080" w:hanging="720"/>
      </w:pPr>
      <w:rPr>
        <w:rFonts w:hint="default"/>
        <w:b w:val="0"/>
        <w:strike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0301442"/>
    <w:multiLevelType w:val="hybridMultilevel"/>
    <w:tmpl w:val="C5A83FF2"/>
    <w:lvl w:ilvl="0" w:tplc="78E68BE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3192DB7"/>
    <w:multiLevelType w:val="hybridMultilevel"/>
    <w:tmpl w:val="BCF6D2E8"/>
    <w:lvl w:ilvl="0" w:tplc="FFFFFFFF">
      <w:start w:val="1"/>
      <w:numFmt w:val="upperLetter"/>
      <w:lvlText w:val="%1."/>
      <w:lvlJc w:val="left"/>
      <w:pPr>
        <w:ind w:left="1094" w:hanging="360"/>
      </w:pPr>
      <w:rPr>
        <w:rFonts w:hint="default"/>
        <w:b/>
        <w:bCs/>
        <w:color w:val="000000" w:themeColor="text1"/>
      </w:rPr>
    </w:lvl>
    <w:lvl w:ilvl="1" w:tplc="FFFFFFFF" w:tentative="1">
      <w:start w:val="1"/>
      <w:numFmt w:val="lowerLetter"/>
      <w:lvlText w:val="%2."/>
      <w:lvlJc w:val="left"/>
      <w:pPr>
        <w:ind w:left="1814" w:hanging="360"/>
      </w:pPr>
    </w:lvl>
    <w:lvl w:ilvl="2" w:tplc="FFFFFFFF" w:tentative="1">
      <w:start w:val="1"/>
      <w:numFmt w:val="lowerRoman"/>
      <w:lvlText w:val="%3."/>
      <w:lvlJc w:val="right"/>
      <w:pPr>
        <w:ind w:left="2534" w:hanging="180"/>
      </w:pPr>
    </w:lvl>
    <w:lvl w:ilvl="3" w:tplc="FFFFFFFF" w:tentative="1">
      <w:start w:val="1"/>
      <w:numFmt w:val="decimal"/>
      <w:lvlText w:val="%4."/>
      <w:lvlJc w:val="left"/>
      <w:pPr>
        <w:ind w:left="3254" w:hanging="360"/>
      </w:pPr>
    </w:lvl>
    <w:lvl w:ilvl="4" w:tplc="FFFFFFFF" w:tentative="1">
      <w:start w:val="1"/>
      <w:numFmt w:val="lowerLetter"/>
      <w:lvlText w:val="%5."/>
      <w:lvlJc w:val="left"/>
      <w:pPr>
        <w:ind w:left="3974" w:hanging="360"/>
      </w:pPr>
    </w:lvl>
    <w:lvl w:ilvl="5" w:tplc="FFFFFFFF" w:tentative="1">
      <w:start w:val="1"/>
      <w:numFmt w:val="lowerRoman"/>
      <w:lvlText w:val="%6."/>
      <w:lvlJc w:val="right"/>
      <w:pPr>
        <w:ind w:left="4694" w:hanging="180"/>
      </w:pPr>
    </w:lvl>
    <w:lvl w:ilvl="6" w:tplc="FFFFFFFF" w:tentative="1">
      <w:start w:val="1"/>
      <w:numFmt w:val="decimal"/>
      <w:lvlText w:val="%7."/>
      <w:lvlJc w:val="left"/>
      <w:pPr>
        <w:ind w:left="5414" w:hanging="360"/>
      </w:pPr>
    </w:lvl>
    <w:lvl w:ilvl="7" w:tplc="FFFFFFFF" w:tentative="1">
      <w:start w:val="1"/>
      <w:numFmt w:val="lowerLetter"/>
      <w:lvlText w:val="%8."/>
      <w:lvlJc w:val="left"/>
      <w:pPr>
        <w:ind w:left="6134" w:hanging="360"/>
      </w:pPr>
    </w:lvl>
    <w:lvl w:ilvl="8" w:tplc="FFFFFFFF" w:tentative="1">
      <w:start w:val="1"/>
      <w:numFmt w:val="lowerRoman"/>
      <w:lvlText w:val="%9."/>
      <w:lvlJc w:val="right"/>
      <w:pPr>
        <w:ind w:left="6854" w:hanging="180"/>
      </w:pPr>
    </w:lvl>
  </w:abstractNum>
  <w:abstractNum w:abstractNumId="3" w15:restartNumberingAfterBreak="0">
    <w:nsid w:val="281A1559"/>
    <w:multiLevelType w:val="hybridMultilevel"/>
    <w:tmpl w:val="DCFC3DEA"/>
    <w:lvl w:ilvl="0" w:tplc="96E07610">
      <w:start w:val="1"/>
      <w:numFmt w:val="lowerRoman"/>
      <w:lvlText w:val="%1)"/>
      <w:lvlJc w:val="left"/>
      <w:pPr>
        <w:ind w:left="2313" w:hanging="720"/>
      </w:pPr>
      <w:rPr>
        <w:rFonts w:hint="default"/>
        <w:b w:val="0"/>
        <w:bCs w:val="0"/>
        <w:color w:val="auto"/>
      </w:rPr>
    </w:lvl>
    <w:lvl w:ilvl="1" w:tplc="40090019" w:tentative="1">
      <w:start w:val="1"/>
      <w:numFmt w:val="lowerLetter"/>
      <w:lvlText w:val="%2."/>
      <w:lvlJc w:val="left"/>
      <w:pPr>
        <w:ind w:left="2673" w:hanging="360"/>
      </w:pPr>
    </w:lvl>
    <w:lvl w:ilvl="2" w:tplc="4009001B" w:tentative="1">
      <w:start w:val="1"/>
      <w:numFmt w:val="lowerRoman"/>
      <w:lvlText w:val="%3."/>
      <w:lvlJc w:val="right"/>
      <w:pPr>
        <w:ind w:left="3393" w:hanging="180"/>
      </w:pPr>
    </w:lvl>
    <w:lvl w:ilvl="3" w:tplc="4009000F" w:tentative="1">
      <w:start w:val="1"/>
      <w:numFmt w:val="decimal"/>
      <w:lvlText w:val="%4."/>
      <w:lvlJc w:val="left"/>
      <w:pPr>
        <w:ind w:left="4113" w:hanging="360"/>
      </w:pPr>
    </w:lvl>
    <w:lvl w:ilvl="4" w:tplc="40090019" w:tentative="1">
      <w:start w:val="1"/>
      <w:numFmt w:val="lowerLetter"/>
      <w:lvlText w:val="%5."/>
      <w:lvlJc w:val="left"/>
      <w:pPr>
        <w:ind w:left="4833" w:hanging="360"/>
      </w:pPr>
    </w:lvl>
    <w:lvl w:ilvl="5" w:tplc="4009001B" w:tentative="1">
      <w:start w:val="1"/>
      <w:numFmt w:val="lowerRoman"/>
      <w:lvlText w:val="%6."/>
      <w:lvlJc w:val="right"/>
      <w:pPr>
        <w:ind w:left="5553" w:hanging="180"/>
      </w:pPr>
    </w:lvl>
    <w:lvl w:ilvl="6" w:tplc="4009000F" w:tentative="1">
      <w:start w:val="1"/>
      <w:numFmt w:val="decimal"/>
      <w:lvlText w:val="%7."/>
      <w:lvlJc w:val="left"/>
      <w:pPr>
        <w:ind w:left="6273" w:hanging="360"/>
      </w:pPr>
    </w:lvl>
    <w:lvl w:ilvl="7" w:tplc="40090019" w:tentative="1">
      <w:start w:val="1"/>
      <w:numFmt w:val="lowerLetter"/>
      <w:lvlText w:val="%8."/>
      <w:lvlJc w:val="left"/>
      <w:pPr>
        <w:ind w:left="6993" w:hanging="360"/>
      </w:pPr>
    </w:lvl>
    <w:lvl w:ilvl="8" w:tplc="4009001B" w:tentative="1">
      <w:start w:val="1"/>
      <w:numFmt w:val="lowerRoman"/>
      <w:lvlText w:val="%9."/>
      <w:lvlJc w:val="right"/>
      <w:pPr>
        <w:ind w:left="7713" w:hanging="180"/>
      </w:pPr>
    </w:lvl>
  </w:abstractNum>
  <w:abstractNum w:abstractNumId="4" w15:restartNumberingAfterBreak="0">
    <w:nsid w:val="28D11612"/>
    <w:multiLevelType w:val="hybridMultilevel"/>
    <w:tmpl w:val="634AA466"/>
    <w:lvl w:ilvl="0" w:tplc="456EDDCE">
      <w:start w:val="1"/>
      <w:numFmt w:val="lowerLetter"/>
      <w:lvlText w:val="(%1)"/>
      <w:lvlJc w:val="left"/>
      <w:pPr>
        <w:ind w:left="1094" w:hanging="360"/>
      </w:pPr>
      <w:rPr>
        <w:rFonts w:hint="default"/>
        <w:b w:val="0"/>
        <w:color w:val="auto"/>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5" w15:restartNumberingAfterBreak="0">
    <w:nsid w:val="2E646915"/>
    <w:multiLevelType w:val="hybridMultilevel"/>
    <w:tmpl w:val="AC6C1CD8"/>
    <w:lvl w:ilvl="0" w:tplc="147654A4">
      <w:start w:val="1"/>
      <w:numFmt w:val="lowerLetter"/>
      <w:lvlText w:val="(%1)"/>
      <w:lvlJc w:val="left"/>
      <w:pPr>
        <w:tabs>
          <w:tab w:val="num" w:pos="1080"/>
        </w:tabs>
        <w:ind w:left="1080" w:hanging="720"/>
      </w:pPr>
      <w:rPr>
        <w:rFonts w:ascii="Trebuchet MS" w:eastAsia="Times New Roman" w:hAnsi="Trebuchet MS" w:cs="Times New Roman"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AA5874"/>
    <w:multiLevelType w:val="hybridMultilevel"/>
    <w:tmpl w:val="2444C17E"/>
    <w:lvl w:ilvl="0" w:tplc="93E0907A">
      <w:start w:val="1"/>
      <w:numFmt w:val="upperLetter"/>
      <w:lvlText w:val="%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7" w15:restartNumberingAfterBreak="0">
    <w:nsid w:val="324D71CB"/>
    <w:multiLevelType w:val="hybridMultilevel"/>
    <w:tmpl w:val="BCF6D2E8"/>
    <w:lvl w:ilvl="0" w:tplc="93327DB2">
      <w:start w:val="1"/>
      <w:numFmt w:val="upperLetter"/>
      <w:lvlText w:val="%1."/>
      <w:lvlJc w:val="left"/>
      <w:pPr>
        <w:ind w:left="1094" w:hanging="360"/>
      </w:pPr>
      <w:rPr>
        <w:rFonts w:hint="default"/>
        <w:b/>
        <w:bCs/>
        <w:color w:val="000000" w:themeColor="text1"/>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8" w15:restartNumberingAfterBreak="0">
    <w:nsid w:val="349045D4"/>
    <w:multiLevelType w:val="hybridMultilevel"/>
    <w:tmpl w:val="480EABDA"/>
    <w:lvl w:ilvl="0" w:tplc="94BC96B8">
      <w:start w:val="1"/>
      <w:numFmt w:val="lowerLetter"/>
      <w:lvlText w:val="%1."/>
      <w:lvlJc w:val="left"/>
      <w:pPr>
        <w:ind w:left="0" w:hanging="360"/>
      </w:pPr>
      <w:rPr>
        <w:rFonts w:ascii="Trebuchet MS" w:eastAsia="Times New Roman" w:hAnsi="Trebuchet MS" w:cs="Mangal"/>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389A1A38"/>
    <w:multiLevelType w:val="hybridMultilevel"/>
    <w:tmpl w:val="35F6857E"/>
    <w:lvl w:ilvl="0" w:tplc="5C802D60">
      <w:start w:val="1"/>
      <w:numFmt w:val="upperLetter"/>
      <w:lvlText w:val="%1."/>
      <w:lvlJc w:val="left"/>
      <w:pPr>
        <w:ind w:left="1800" w:hanging="360"/>
      </w:pPr>
      <w:rPr>
        <w:rFonts w:ascii="Mangal" w:hAnsi="Mangal" w:cs="Mangal" w:hint="default"/>
        <w:b w:val="0"/>
        <w:color w:val="000000"/>
        <w:sz w:val="2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8C630FD"/>
    <w:multiLevelType w:val="hybridMultilevel"/>
    <w:tmpl w:val="25E87C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9A40BDB"/>
    <w:multiLevelType w:val="hybridMultilevel"/>
    <w:tmpl w:val="05B2D212"/>
    <w:lvl w:ilvl="0" w:tplc="FFFFFFFF">
      <w:start w:val="1"/>
      <w:numFmt w:val="decimal"/>
      <w:lvlText w:val="%1."/>
      <w:lvlJc w:val="left"/>
      <w:pPr>
        <w:tabs>
          <w:tab w:val="num" w:pos="6674"/>
        </w:tabs>
        <w:ind w:left="6674" w:hanging="720"/>
      </w:pPr>
      <w:rPr>
        <w:rFonts w:ascii="Trebuchet MS" w:hAnsi="Trebuchet MS" w:hint="default"/>
        <w:b w:val="0"/>
        <w:i w:val="0"/>
        <w:strike w:val="0"/>
        <w:color w:val="auto"/>
        <w:sz w:val="24"/>
        <w:szCs w:val="24"/>
        <w:u w:val="none"/>
      </w:rPr>
    </w:lvl>
    <w:lvl w:ilvl="1" w:tplc="FFFFFFFF">
      <w:start w:val="1"/>
      <w:numFmt w:val="lowerLetter"/>
      <w:lvlText w:val="%2."/>
      <w:lvlJc w:val="left"/>
      <w:pPr>
        <w:tabs>
          <w:tab w:val="num" w:pos="792"/>
        </w:tabs>
        <w:ind w:left="792" w:hanging="360"/>
      </w:pPr>
      <w:rPr>
        <w:rFonts w:ascii="Trebuchet MS" w:eastAsia="Times New Roman" w:hAnsi="Trebuchet MS" w:cs="Mangal"/>
      </w:rPr>
    </w:lvl>
    <w:lvl w:ilvl="2" w:tplc="FFFFFFFF">
      <w:start w:val="1"/>
      <w:numFmt w:val="lowerRoman"/>
      <w:lvlText w:val="%3."/>
      <w:lvlJc w:val="right"/>
      <w:pPr>
        <w:tabs>
          <w:tab w:val="num" w:pos="1512"/>
        </w:tabs>
        <w:ind w:left="1512" w:hanging="180"/>
      </w:pPr>
    </w:lvl>
    <w:lvl w:ilvl="3" w:tplc="4009001B">
      <w:start w:val="1"/>
      <w:numFmt w:val="lowerRoman"/>
      <w:lvlText w:val="%4."/>
      <w:lvlJc w:val="right"/>
      <w:pPr>
        <w:ind w:left="2345" w:hanging="360"/>
      </w:pPr>
    </w:lvl>
    <w:lvl w:ilvl="4" w:tplc="FFFFFFFF">
      <w:start w:val="1"/>
      <w:numFmt w:val="lowerLetter"/>
      <w:lvlText w:val="%5."/>
      <w:lvlJc w:val="left"/>
      <w:pPr>
        <w:tabs>
          <w:tab w:val="num" w:pos="2952"/>
        </w:tabs>
        <w:ind w:left="2952" w:hanging="360"/>
      </w:pPr>
    </w:lvl>
    <w:lvl w:ilvl="5" w:tplc="FFFFFFFF">
      <w:start w:val="1"/>
      <w:numFmt w:val="lowerRoman"/>
      <w:lvlText w:val="%6."/>
      <w:lvlJc w:val="right"/>
      <w:pPr>
        <w:tabs>
          <w:tab w:val="num" w:pos="3672"/>
        </w:tabs>
        <w:ind w:left="3672" w:hanging="180"/>
      </w:pPr>
    </w:lvl>
    <w:lvl w:ilvl="6" w:tplc="FFFFFFFF">
      <w:start w:val="1"/>
      <w:numFmt w:val="decimal"/>
      <w:lvlText w:val="%7."/>
      <w:lvlJc w:val="left"/>
      <w:pPr>
        <w:tabs>
          <w:tab w:val="num" w:pos="4392"/>
        </w:tabs>
        <w:ind w:left="4392" w:hanging="360"/>
      </w:pPr>
    </w:lvl>
    <w:lvl w:ilvl="7" w:tplc="FFFFFFFF">
      <w:start w:val="1"/>
      <w:numFmt w:val="lowerLetter"/>
      <w:lvlText w:val="%8."/>
      <w:lvlJc w:val="left"/>
      <w:pPr>
        <w:tabs>
          <w:tab w:val="num" w:pos="5112"/>
        </w:tabs>
        <w:ind w:left="5112" w:hanging="360"/>
      </w:pPr>
    </w:lvl>
    <w:lvl w:ilvl="8" w:tplc="FFFFFFFF" w:tentative="1">
      <w:start w:val="1"/>
      <w:numFmt w:val="lowerRoman"/>
      <w:lvlText w:val="%9."/>
      <w:lvlJc w:val="right"/>
      <w:pPr>
        <w:tabs>
          <w:tab w:val="num" w:pos="5832"/>
        </w:tabs>
        <w:ind w:left="5832" w:hanging="180"/>
      </w:pPr>
    </w:lvl>
  </w:abstractNum>
  <w:abstractNum w:abstractNumId="12" w15:restartNumberingAfterBreak="0">
    <w:nsid w:val="3DBD4C19"/>
    <w:multiLevelType w:val="hybridMultilevel"/>
    <w:tmpl w:val="9AA081AA"/>
    <w:lvl w:ilvl="0" w:tplc="F872F8C0">
      <w:start w:val="1"/>
      <w:numFmt w:val="lowerRoman"/>
      <w:lvlText w:val="%1)"/>
      <w:lvlJc w:val="left"/>
      <w:pPr>
        <w:ind w:left="3731" w:hanging="720"/>
      </w:pPr>
      <w:rPr>
        <w:rFonts w:hint="default"/>
      </w:rPr>
    </w:lvl>
    <w:lvl w:ilvl="1" w:tplc="40090019" w:tentative="1">
      <w:start w:val="1"/>
      <w:numFmt w:val="lowerLetter"/>
      <w:lvlText w:val="%2."/>
      <w:lvlJc w:val="left"/>
      <w:pPr>
        <w:ind w:left="4091" w:hanging="360"/>
      </w:pPr>
    </w:lvl>
    <w:lvl w:ilvl="2" w:tplc="4009001B" w:tentative="1">
      <w:start w:val="1"/>
      <w:numFmt w:val="lowerRoman"/>
      <w:lvlText w:val="%3."/>
      <w:lvlJc w:val="right"/>
      <w:pPr>
        <w:ind w:left="4811" w:hanging="180"/>
      </w:pPr>
    </w:lvl>
    <w:lvl w:ilvl="3" w:tplc="4009000F" w:tentative="1">
      <w:start w:val="1"/>
      <w:numFmt w:val="decimal"/>
      <w:lvlText w:val="%4."/>
      <w:lvlJc w:val="left"/>
      <w:pPr>
        <w:ind w:left="5531" w:hanging="360"/>
      </w:pPr>
    </w:lvl>
    <w:lvl w:ilvl="4" w:tplc="40090019" w:tentative="1">
      <w:start w:val="1"/>
      <w:numFmt w:val="lowerLetter"/>
      <w:lvlText w:val="%5."/>
      <w:lvlJc w:val="left"/>
      <w:pPr>
        <w:ind w:left="6251" w:hanging="360"/>
      </w:pPr>
    </w:lvl>
    <w:lvl w:ilvl="5" w:tplc="4009001B" w:tentative="1">
      <w:start w:val="1"/>
      <w:numFmt w:val="lowerRoman"/>
      <w:lvlText w:val="%6."/>
      <w:lvlJc w:val="right"/>
      <w:pPr>
        <w:ind w:left="6971" w:hanging="180"/>
      </w:pPr>
    </w:lvl>
    <w:lvl w:ilvl="6" w:tplc="4009000F" w:tentative="1">
      <w:start w:val="1"/>
      <w:numFmt w:val="decimal"/>
      <w:lvlText w:val="%7."/>
      <w:lvlJc w:val="left"/>
      <w:pPr>
        <w:ind w:left="7691" w:hanging="360"/>
      </w:pPr>
    </w:lvl>
    <w:lvl w:ilvl="7" w:tplc="40090019" w:tentative="1">
      <w:start w:val="1"/>
      <w:numFmt w:val="lowerLetter"/>
      <w:lvlText w:val="%8."/>
      <w:lvlJc w:val="left"/>
      <w:pPr>
        <w:ind w:left="8411" w:hanging="360"/>
      </w:pPr>
    </w:lvl>
    <w:lvl w:ilvl="8" w:tplc="4009001B" w:tentative="1">
      <w:start w:val="1"/>
      <w:numFmt w:val="lowerRoman"/>
      <w:lvlText w:val="%9."/>
      <w:lvlJc w:val="right"/>
      <w:pPr>
        <w:ind w:left="9131" w:hanging="180"/>
      </w:pPr>
    </w:lvl>
  </w:abstractNum>
  <w:abstractNum w:abstractNumId="13" w15:restartNumberingAfterBreak="0">
    <w:nsid w:val="3F403230"/>
    <w:multiLevelType w:val="hybridMultilevel"/>
    <w:tmpl w:val="8DE63AA2"/>
    <w:lvl w:ilvl="0" w:tplc="FC70EFFE">
      <w:start w:val="1"/>
      <w:numFmt w:val="lowerLetter"/>
      <w:lvlText w:val="(%1)"/>
      <w:lvlJc w:val="left"/>
      <w:pPr>
        <w:ind w:left="1066" w:hanging="360"/>
      </w:pPr>
      <w:rPr>
        <w:rFonts w:hint="default"/>
      </w:rPr>
    </w:lvl>
    <w:lvl w:ilvl="1" w:tplc="CA664508">
      <w:start w:val="1"/>
      <w:numFmt w:val="lowerRoman"/>
      <w:lvlText w:val="%2."/>
      <w:lvlJc w:val="left"/>
      <w:pPr>
        <w:ind w:left="2146" w:hanging="720"/>
      </w:pPr>
      <w:rPr>
        <w:rFonts w:ascii="Times New Roman" w:hAnsi="Times New Roman" w:cs="Times New Roman" w:hint="default"/>
        <w:color w:val="000000"/>
        <w:sz w:val="28"/>
      </w:r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4" w15:restartNumberingAfterBreak="0">
    <w:nsid w:val="41151641"/>
    <w:multiLevelType w:val="hybridMultilevel"/>
    <w:tmpl w:val="CBC271A0"/>
    <w:lvl w:ilvl="0" w:tplc="0409000F">
      <w:start w:val="2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EDAEB868">
      <w:start w:val="1"/>
      <w:numFmt w:val="lowerRoman"/>
      <w:lvlText w:val="%3)"/>
      <w:lvlJc w:val="right"/>
      <w:pPr>
        <w:tabs>
          <w:tab w:val="num" w:pos="2160"/>
        </w:tabs>
        <w:ind w:left="2160" w:hanging="180"/>
      </w:pPr>
      <w:rPr>
        <w:rFonts w:ascii="Trebuchet MS" w:eastAsia="Times New Roman" w:hAnsi="Trebuchet MS" w:cs="Times New Roman"/>
      </w:rPr>
    </w:lvl>
    <w:lvl w:ilvl="3" w:tplc="97B69D8E">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5867D3"/>
    <w:multiLevelType w:val="hybridMultilevel"/>
    <w:tmpl w:val="AADAF408"/>
    <w:lvl w:ilvl="0" w:tplc="04090019">
      <w:start w:val="1"/>
      <w:numFmt w:val="lowerLetter"/>
      <w:lvlText w:val="%1."/>
      <w:lvlJc w:val="left"/>
      <w:pPr>
        <w:tabs>
          <w:tab w:val="num" w:pos="1440"/>
        </w:tabs>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50D4978"/>
    <w:multiLevelType w:val="multilevel"/>
    <w:tmpl w:val="93328D12"/>
    <w:lvl w:ilvl="0">
      <w:start w:val="1"/>
      <w:numFmt w:val="upperLetter"/>
      <w:lvlText w:val="%1."/>
      <w:lvlJc w:val="left"/>
      <w:pPr>
        <w:tabs>
          <w:tab w:val="num" w:pos="2520"/>
        </w:tabs>
        <w:ind w:left="2520" w:hanging="360"/>
      </w:pPr>
    </w:lvl>
    <w:lvl w:ilvl="1">
      <w:start w:val="1"/>
      <w:numFmt w:val="lowerRoman"/>
      <w:lvlText w:val="%2."/>
      <w:lvlJc w:val="left"/>
      <w:pPr>
        <w:ind w:left="3600" w:hanging="720"/>
      </w:pPr>
      <w:rPr>
        <w:rFonts w:hint="default"/>
      </w:rPr>
    </w:lvl>
    <w:lvl w:ilvl="2" w:tentative="1">
      <w:start w:val="1"/>
      <w:numFmt w:val="upperLetter"/>
      <w:lvlText w:val="%3."/>
      <w:lvlJc w:val="left"/>
      <w:pPr>
        <w:tabs>
          <w:tab w:val="num" w:pos="3960"/>
        </w:tabs>
        <w:ind w:left="3960" w:hanging="360"/>
      </w:pPr>
    </w:lvl>
    <w:lvl w:ilvl="3" w:tentative="1">
      <w:start w:val="1"/>
      <w:numFmt w:val="upperLetter"/>
      <w:lvlText w:val="%4."/>
      <w:lvlJc w:val="left"/>
      <w:pPr>
        <w:tabs>
          <w:tab w:val="num" w:pos="4680"/>
        </w:tabs>
        <w:ind w:left="4680" w:hanging="360"/>
      </w:pPr>
    </w:lvl>
    <w:lvl w:ilvl="4" w:tentative="1">
      <w:start w:val="1"/>
      <w:numFmt w:val="upperLetter"/>
      <w:lvlText w:val="%5."/>
      <w:lvlJc w:val="left"/>
      <w:pPr>
        <w:tabs>
          <w:tab w:val="num" w:pos="5400"/>
        </w:tabs>
        <w:ind w:left="5400" w:hanging="360"/>
      </w:pPr>
    </w:lvl>
    <w:lvl w:ilvl="5" w:tentative="1">
      <w:start w:val="1"/>
      <w:numFmt w:val="upperLetter"/>
      <w:lvlText w:val="%6."/>
      <w:lvlJc w:val="left"/>
      <w:pPr>
        <w:tabs>
          <w:tab w:val="num" w:pos="6120"/>
        </w:tabs>
        <w:ind w:left="6120" w:hanging="360"/>
      </w:pPr>
    </w:lvl>
    <w:lvl w:ilvl="6" w:tentative="1">
      <w:start w:val="1"/>
      <w:numFmt w:val="upperLetter"/>
      <w:lvlText w:val="%7."/>
      <w:lvlJc w:val="left"/>
      <w:pPr>
        <w:tabs>
          <w:tab w:val="num" w:pos="6840"/>
        </w:tabs>
        <w:ind w:left="6840" w:hanging="360"/>
      </w:pPr>
    </w:lvl>
    <w:lvl w:ilvl="7" w:tentative="1">
      <w:start w:val="1"/>
      <w:numFmt w:val="upperLetter"/>
      <w:lvlText w:val="%8."/>
      <w:lvlJc w:val="left"/>
      <w:pPr>
        <w:tabs>
          <w:tab w:val="num" w:pos="7560"/>
        </w:tabs>
        <w:ind w:left="7560" w:hanging="360"/>
      </w:pPr>
    </w:lvl>
    <w:lvl w:ilvl="8" w:tentative="1">
      <w:start w:val="1"/>
      <w:numFmt w:val="upperLetter"/>
      <w:lvlText w:val="%9."/>
      <w:lvlJc w:val="left"/>
      <w:pPr>
        <w:tabs>
          <w:tab w:val="num" w:pos="8280"/>
        </w:tabs>
        <w:ind w:left="8280" w:hanging="360"/>
      </w:pPr>
    </w:lvl>
  </w:abstractNum>
  <w:abstractNum w:abstractNumId="17" w15:restartNumberingAfterBreak="0">
    <w:nsid w:val="50936BF8"/>
    <w:multiLevelType w:val="hybridMultilevel"/>
    <w:tmpl w:val="EDFC67AA"/>
    <w:lvl w:ilvl="0" w:tplc="FFFFFFFF">
      <w:start w:val="1"/>
      <w:numFmt w:val="lowerRoman"/>
      <w:lvlText w:val="%1)"/>
      <w:lvlJc w:val="left"/>
      <w:pPr>
        <w:ind w:left="2291" w:hanging="720"/>
      </w:pPr>
      <w:rPr>
        <w:rFonts w:hint="default"/>
      </w:rPr>
    </w:lvl>
    <w:lvl w:ilvl="1" w:tplc="40090019" w:tentative="1">
      <w:start w:val="1"/>
      <w:numFmt w:val="lowerLetter"/>
      <w:lvlText w:val="%2."/>
      <w:lvlJc w:val="left"/>
      <w:pPr>
        <w:ind w:left="2651" w:hanging="360"/>
      </w:pPr>
    </w:lvl>
    <w:lvl w:ilvl="2" w:tplc="4009001B" w:tentative="1">
      <w:start w:val="1"/>
      <w:numFmt w:val="lowerRoman"/>
      <w:lvlText w:val="%3."/>
      <w:lvlJc w:val="right"/>
      <w:pPr>
        <w:ind w:left="3371" w:hanging="180"/>
      </w:pPr>
    </w:lvl>
    <w:lvl w:ilvl="3" w:tplc="4009000F" w:tentative="1">
      <w:start w:val="1"/>
      <w:numFmt w:val="decimal"/>
      <w:lvlText w:val="%4."/>
      <w:lvlJc w:val="left"/>
      <w:pPr>
        <w:ind w:left="4091" w:hanging="360"/>
      </w:pPr>
    </w:lvl>
    <w:lvl w:ilvl="4" w:tplc="40090019" w:tentative="1">
      <w:start w:val="1"/>
      <w:numFmt w:val="lowerLetter"/>
      <w:lvlText w:val="%5."/>
      <w:lvlJc w:val="left"/>
      <w:pPr>
        <w:ind w:left="4811" w:hanging="360"/>
      </w:pPr>
    </w:lvl>
    <w:lvl w:ilvl="5" w:tplc="4009001B" w:tentative="1">
      <w:start w:val="1"/>
      <w:numFmt w:val="lowerRoman"/>
      <w:lvlText w:val="%6."/>
      <w:lvlJc w:val="right"/>
      <w:pPr>
        <w:ind w:left="5531" w:hanging="180"/>
      </w:pPr>
    </w:lvl>
    <w:lvl w:ilvl="6" w:tplc="4009000F" w:tentative="1">
      <w:start w:val="1"/>
      <w:numFmt w:val="decimal"/>
      <w:lvlText w:val="%7."/>
      <w:lvlJc w:val="left"/>
      <w:pPr>
        <w:ind w:left="6251" w:hanging="360"/>
      </w:pPr>
    </w:lvl>
    <w:lvl w:ilvl="7" w:tplc="40090019" w:tentative="1">
      <w:start w:val="1"/>
      <w:numFmt w:val="lowerLetter"/>
      <w:lvlText w:val="%8."/>
      <w:lvlJc w:val="left"/>
      <w:pPr>
        <w:ind w:left="6971" w:hanging="360"/>
      </w:pPr>
    </w:lvl>
    <w:lvl w:ilvl="8" w:tplc="4009001B" w:tentative="1">
      <w:start w:val="1"/>
      <w:numFmt w:val="lowerRoman"/>
      <w:lvlText w:val="%9."/>
      <w:lvlJc w:val="right"/>
      <w:pPr>
        <w:ind w:left="7691" w:hanging="180"/>
      </w:pPr>
    </w:lvl>
  </w:abstractNum>
  <w:abstractNum w:abstractNumId="18" w15:restartNumberingAfterBreak="0">
    <w:nsid w:val="50CC6C97"/>
    <w:multiLevelType w:val="hybridMultilevel"/>
    <w:tmpl w:val="3126FB70"/>
    <w:lvl w:ilvl="0" w:tplc="84260F60">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9" w15:restartNumberingAfterBreak="0">
    <w:nsid w:val="52827A20"/>
    <w:multiLevelType w:val="multilevel"/>
    <w:tmpl w:val="A2AA0640"/>
    <w:lvl w:ilvl="0">
      <w:start w:val="1"/>
      <w:numFmt w:val="upperLetter"/>
      <w:lvlText w:val="%1."/>
      <w:lvlJc w:val="left"/>
      <w:pPr>
        <w:tabs>
          <w:tab w:val="num" w:pos="2520"/>
        </w:tabs>
        <w:ind w:left="2520" w:hanging="360"/>
      </w:pPr>
    </w:lvl>
    <w:lvl w:ilvl="1" w:tentative="1">
      <w:start w:val="1"/>
      <w:numFmt w:val="upperLetter"/>
      <w:lvlText w:val="%2."/>
      <w:lvlJc w:val="left"/>
      <w:pPr>
        <w:tabs>
          <w:tab w:val="num" w:pos="3240"/>
        </w:tabs>
        <w:ind w:left="3240" w:hanging="360"/>
      </w:pPr>
    </w:lvl>
    <w:lvl w:ilvl="2" w:tentative="1">
      <w:start w:val="1"/>
      <w:numFmt w:val="upperLetter"/>
      <w:lvlText w:val="%3."/>
      <w:lvlJc w:val="left"/>
      <w:pPr>
        <w:tabs>
          <w:tab w:val="num" w:pos="3960"/>
        </w:tabs>
        <w:ind w:left="3960" w:hanging="360"/>
      </w:pPr>
    </w:lvl>
    <w:lvl w:ilvl="3" w:tentative="1">
      <w:start w:val="1"/>
      <w:numFmt w:val="upperLetter"/>
      <w:lvlText w:val="%4."/>
      <w:lvlJc w:val="left"/>
      <w:pPr>
        <w:tabs>
          <w:tab w:val="num" w:pos="4680"/>
        </w:tabs>
        <w:ind w:left="4680" w:hanging="360"/>
      </w:pPr>
    </w:lvl>
    <w:lvl w:ilvl="4" w:tentative="1">
      <w:start w:val="1"/>
      <w:numFmt w:val="upperLetter"/>
      <w:lvlText w:val="%5."/>
      <w:lvlJc w:val="left"/>
      <w:pPr>
        <w:tabs>
          <w:tab w:val="num" w:pos="5400"/>
        </w:tabs>
        <w:ind w:left="5400" w:hanging="360"/>
      </w:pPr>
    </w:lvl>
    <w:lvl w:ilvl="5" w:tentative="1">
      <w:start w:val="1"/>
      <w:numFmt w:val="upperLetter"/>
      <w:lvlText w:val="%6."/>
      <w:lvlJc w:val="left"/>
      <w:pPr>
        <w:tabs>
          <w:tab w:val="num" w:pos="6120"/>
        </w:tabs>
        <w:ind w:left="6120" w:hanging="360"/>
      </w:pPr>
    </w:lvl>
    <w:lvl w:ilvl="6" w:tentative="1">
      <w:start w:val="1"/>
      <w:numFmt w:val="upperLetter"/>
      <w:lvlText w:val="%7."/>
      <w:lvlJc w:val="left"/>
      <w:pPr>
        <w:tabs>
          <w:tab w:val="num" w:pos="6840"/>
        </w:tabs>
        <w:ind w:left="6840" w:hanging="360"/>
      </w:pPr>
    </w:lvl>
    <w:lvl w:ilvl="7" w:tentative="1">
      <w:start w:val="1"/>
      <w:numFmt w:val="upperLetter"/>
      <w:lvlText w:val="%8."/>
      <w:lvlJc w:val="left"/>
      <w:pPr>
        <w:tabs>
          <w:tab w:val="num" w:pos="7560"/>
        </w:tabs>
        <w:ind w:left="7560" w:hanging="360"/>
      </w:pPr>
    </w:lvl>
    <w:lvl w:ilvl="8" w:tentative="1">
      <w:start w:val="1"/>
      <w:numFmt w:val="upperLetter"/>
      <w:lvlText w:val="%9."/>
      <w:lvlJc w:val="left"/>
      <w:pPr>
        <w:tabs>
          <w:tab w:val="num" w:pos="8280"/>
        </w:tabs>
        <w:ind w:left="8280" w:hanging="360"/>
      </w:pPr>
    </w:lvl>
  </w:abstractNum>
  <w:abstractNum w:abstractNumId="20" w15:restartNumberingAfterBreak="0">
    <w:nsid w:val="54D82ED0"/>
    <w:multiLevelType w:val="hybridMultilevel"/>
    <w:tmpl w:val="661E06C6"/>
    <w:lvl w:ilvl="0" w:tplc="FE383112">
      <w:start w:val="1"/>
      <w:numFmt w:val="upperLetter"/>
      <w:lvlText w:val="%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21" w15:restartNumberingAfterBreak="0">
    <w:nsid w:val="5D9B52E8"/>
    <w:multiLevelType w:val="hybridMultilevel"/>
    <w:tmpl w:val="794CE07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69C61E87"/>
    <w:multiLevelType w:val="hybridMultilevel"/>
    <w:tmpl w:val="3B826BD0"/>
    <w:lvl w:ilvl="0" w:tplc="FFFFFFFF">
      <w:start w:val="1"/>
      <w:numFmt w:val="lowerLetter"/>
      <w:lvlText w:val="%1)"/>
      <w:lvlJc w:val="left"/>
      <w:pPr>
        <w:ind w:left="1454" w:hanging="360"/>
      </w:pPr>
      <w:rPr>
        <w:rFonts w:hint="default"/>
      </w:rPr>
    </w:lvl>
    <w:lvl w:ilvl="1" w:tplc="FFFFFFFF" w:tentative="1">
      <w:start w:val="1"/>
      <w:numFmt w:val="lowerLetter"/>
      <w:lvlText w:val="%2."/>
      <w:lvlJc w:val="left"/>
      <w:pPr>
        <w:ind w:left="2174" w:hanging="360"/>
      </w:pPr>
    </w:lvl>
    <w:lvl w:ilvl="2" w:tplc="FFFFFFFF" w:tentative="1">
      <w:start w:val="1"/>
      <w:numFmt w:val="lowerRoman"/>
      <w:lvlText w:val="%3."/>
      <w:lvlJc w:val="right"/>
      <w:pPr>
        <w:ind w:left="2894" w:hanging="180"/>
      </w:pPr>
    </w:lvl>
    <w:lvl w:ilvl="3" w:tplc="FFFFFFFF" w:tentative="1">
      <w:start w:val="1"/>
      <w:numFmt w:val="decimal"/>
      <w:lvlText w:val="%4."/>
      <w:lvlJc w:val="left"/>
      <w:pPr>
        <w:ind w:left="3614" w:hanging="360"/>
      </w:pPr>
    </w:lvl>
    <w:lvl w:ilvl="4" w:tplc="FFFFFFFF" w:tentative="1">
      <w:start w:val="1"/>
      <w:numFmt w:val="lowerLetter"/>
      <w:lvlText w:val="%5."/>
      <w:lvlJc w:val="left"/>
      <w:pPr>
        <w:ind w:left="4334" w:hanging="360"/>
      </w:pPr>
    </w:lvl>
    <w:lvl w:ilvl="5" w:tplc="FFFFFFFF" w:tentative="1">
      <w:start w:val="1"/>
      <w:numFmt w:val="lowerRoman"/>
      <w:lvlText w:val="%6."/>
      <w:lvlJc w:val="right"/>
      <w:pPr>
        <w:ind w:left="5054" w:hanging="180"/>
      </w:pPr>
    </w:lvl>
    <w:lvl w:ilvl="6" w:tplc="FFFFFFFF" w:tentative="1">
      <w:start w:val="1"/>
      <w:numFmt w:val="decimal"/>
      <w:lvlText w:val="%7."/>
      <w:lvlJc w:val="left"/>
      <w:pPr>
        <w:ind w:left="5774" w:hanging="360"/>
      </w:pPr>
    </w:lvl>
    <w:lvl w:ilvl="7" w:tplc="FFFFFFFF" w:tentative="1">
      <w:start w:val="1"/>
      <w:numFmt w:val="lowerLetter"/>
      <w:lvlText w:val="%8."/>
      <w:lvlJc w:val="left"/>
      <w:pPr>
        <w:ind w:left="6494" w:hanging="360"/>
      </w:pPr>
    </w:lvl>
    <w:lvl w:ilvl="8" w:tplc="FFFFFFFF" w:tentative="1">
      <w:start w:val="1"/>
      <w:numFmt w:val="lowerRoman"/>
      <w:lvlText w:val="%9."/>
      <w:lvlJc w:val="right"/>
      <w:pPr>
        <w:ind w:left="7214" w:hanging="180"/>
      </w:pPr>
    </w:lvl>
  </w:abstractNum>
  <w:abstractNum w:abstractNumId="23" w15:restartNumberingAfterBreak="0">
    <w:nsid w:val="6A9B7CB8"/>
    <w:multiLevelType w:val="hybridMultilevel"/>
    <w:tmpl w:val="1FF2FE58"/>
    <w:lvl w:ilvl="0" w:tplc="2B90A38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B90320F"/>
    <w:multiLevelType w:val="hybridMultilevel"/>
    <w:tmpl w:val="083A0200"/>
    <w:lvl w:ilvl="0" w:tplc="1A56DE56">
      <w:start w:val="1"/>
      <w:numFmt w:val="upperLetter"/>
      <w:lvlText w:val="%1."/>
      <w:lvlJc w:val="left"/>
      <w:pPr>
        <w:ind w:left="1800" w:hanging="360"/>
      </w:pPr>
      <w:rPr>
        <w:rFonts w:ascii="Mangal" w:hAnsi="Mangal" w:cs="Mangal" w:hint="default"/>
        <w:sz w:val="2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CDD35A7"/>
    <w:multiLevelType w:val="hybridMultilevel"/>
    <w:tmpl w:val="417CA2CE"/>
    <w:lvl w:ilvl="0" w:tplc="3826695C">
      <w:start w:val="1"/>
      <w:numFmt w:val="lowerRoman"/>
      <w:lvlText w:val="%1)"/>
      <w:lvlJc w:val="left"/>
      <w:pPr>
        <w:ind w:left="2291" w:hanging="720"/>
      </w:pPr>
      <w:rPr>
        <w:rFonts w:hint="default"/>
      </w:rPr>
    </w:lvl>
    <w:lvl w:ilvl="1" w:tplc="40090019" w:tentative="1">
      <w:start w:val="1"/>
      <w:numFmt w:val="lowerLetter"/>
      <w:lvlText w:val="%2."/>
      <w:lvlJc w:val="left"/>
      <w:pPr>
        <w:ind w:left="2651" w:hanging="360"/>
      </w:pPr>
    </w:lvl>
    <w:lvl w:ilvl="2" w:tplc="4009001B" w:tentative="1">
      <w:start w:val="1"/>
      <w:numFmt w:val="lowerRoman"/>
      <w:lvlText w:val="%3."/>
      <w:lvlJc w:val="right"/>
      <w:pPr>
        <w:ind w:left="3371" w:hanging="180"/>
      </w:pPr>
    </w:lvl>
    <w:lvl w:ilvl="3" w:tplc="4009000F" w:tentative="1">
      <w:start w:val="1"/>
      <w:numFmt w:val="decimal"/>
      <w:lvlText w:val="%4."/>
      <w:lvlJc w:val="left"/>
      <w:pPr>
        <w:ind w:left="4091" w:hanging="360"/>
      </w:pPr>
    </w:lvl>
    <w:lvl w:ilvl="4" w:tplc="40090019" w:tentative="1">
      <w:start w:val="1"/>
      <w:numFmt w:val="lowerLetter"/>
      <w:lvlText w:val="%5."/>
      <w:lvlJc w:val="left"/>
      <w:pPr>
        <w:ind w:left="4811" w:hanging="360"/>
      </w:pPr>
    </w:lvl>
    <w:lvl w:ilvl="5" w:tplc="4009001B" w:tentative="1">
      <w:start w:val="1"/>
      <w:numFmt w:val="lowerRoman"/>
      <w:lvlText w:val="%6."/>
      <w:lvlJc w:val="right"/>
      <w:pPr>
        <w:ind w:left="5531" w:hanging="180"/>
      </w:pPr>
    </w:lvl>
    <w:lvl w:ilvl="6" w:tplc="4009000F" w:tentative="1">
      <w:start w:val="1"/>
      <w:numFmt w:val="decimal"/>
      <w:lvlText w:val="%7."/>
      <w:lvlJc w:val="left"/>
      <w:pPr>
        <w:ind w:left="6251" w:hanging="360"/>
      </w:pPr>
    </w:lvl>
    <w:lvl w:ilvl="7" w:tplc="40090019" w:tentative="1">
      <w:start w:val="1"/>
      <w:numFmt w:val="lowerLetter"/>
      <w:lvlText w:val="%8."/>
      <w:lvlJc w:val="left"/>
      <w:pPr>
        <w:ind w:left="6971" w:hanging="360"/>
      </w:pPr>
    </w:lvl>
    <w:lvl w:ilvl="8" w:tplc="4009001B" w:tentative="1">
      <w:start w:val="1"/>
      <w:numFmt w:val="lowerRoman"/>
      <w:lvlText w:val="%9."/>
      <w:lvlJc w:val="right"/>
      <w:pPr>
        <w:ind w:left="7691" w:hanging="180"/>
      </w:pPr>
    </w:lvl>
  </w:abstractNum>
  <w:abstractNum w:abstractNumId="26" w15:restartNumberingAfterBreak="0">
    <w:nsid w:val="6E033A9A"/>
    <w:multiLevelType w:val="multilevel"/>
    <w:tmpl w:val="00B44CA6"/>
    <w:lvl w:ilvl="0">
      <w:start w:val="1"/>
      <w:numFmt w:val="upperLetter"/>
      <w:lvlText w:val="%1."/>
      <w:lvlJc w:val="left"/>
      <w:pPr>
        <w:tabs>
          <w:tab w:val="num" w:pos="2520"/>
        </w:tabs>
        <w:ind w:left="2520" w:hanging="360"/>
      </w:pPr>
    </w:lvl>
    <w:lvl w:ilvl="1" w:tentative="1">
      <w:start w:val="1"/>
      <w:numFmt w:val="upperLetter"/>
      <w:lvlText w:val="%2."/>
      <w:lvlJc w:val="left"/>
      <w:pPr>
        <w:tabs>
          <w:tab w:val="num" w:pos="3240"/>
        </w:tabs>
        <w:ind w:left="3240" w:hanging="360"/>
      </w:pPr>
    </w:lvl>
    <w:lvl w:ilvl="2" w:tentative="1">
      <w:start w:val="1"/>
      <w:numFmt w:val="upperLetter"/>
      <w:lvlText w:val="%3."/>
      <w:lvlJc w:val="left"/>
      <w:pPr>
        <w:tabs>
          <w:tab w:val="num" w:pos="3960"/>
        </w:tabs>
        <w:ind w:left="3960" w:hanging="360"/>
      </w:pPr>
    </w:lvl>
    <w:lvl w:ilvl="3" w:tentative="1">
      <w:start w:val="1"/>
      <w:numFmt w:val="upperLetter"/>
      <w:lvlText w:val="%4."/>
      <w:lvlJc w:val="left"/>
      <w:pPr>
        <w:tabs>
          <w:tab w:val="num" w:pos="4680"/>
        </w:tabs>
        <w:ind w:left="4680" w:hanging="360"/>
      </w:pPr>
    </w:lvl>
    <w:lvl w:ilvl="4" w:tentative="1">
      <w:start w:val="1"/>
      <w:numFmt w:val="upperLetter"/>
      <w:lvlText w:val="%5."/>
      <w:lvlJc w:val="left"/>
      <w:pPr>
        <w:tabs>
          <w:tab w:val="num" w:pos="5400"/>
        </w:tabs>
        <w:ind w:left="5400" w:hanging="360"/>
      </w:pPr>
    </w:lvl>
    <w:lvl w:ilvl="5" w:tentative="1">
      <w:start w:val="1"/>
      <w:numFmt w:val="upperLetter"/>
      <w:lvlText w:val="%6."/>
      <w:lvlJc w:val="left"/>
      <w:pPr>
        <w:tabs>
          <w:tab w:val="num" w:pos="6120"/>
        </w:tabs>
        <w:ind w:left="6120" w:hanging="360"/>
      </w:pPr>
    </w:lvl>
    <w:lvl w:ilvl="6" w:tentative="1">
      <w:start w:val="1"/>
      <w:numFmt w:val="upperLetter"/>
      <w:lvlText w:val="%7."/>
      <w:lvlJc w:val="left"/>
      <w:pPr>
        <w:tabs>
          <w:tab w:val="num" w:pos="6840"/>
        </w:tabs>
        <w:ind w:left="6840" w:hanging="360"/>
      </w:pPr>
    </w:lvl>
    <w:lvl w:ilvl="7" w:tentative="1">
      <w:start w:val="1"/>
      <w:numFmt w:val="upperLetter"/>
      <w:lvlText w:val="%8."/>
      <w:lvlJc w:val="left"/>
      <w:pPr>
        <w:tabs>
          <w:tab w:val="num" w:pos="7560"/>
        </w:tabs>
        <w:ind w:left="7560" w:hanging="360"/>
      </w:pPr>
    </w:lvl>
    <w:lvl w:ilvl="8" w:tentative="1">
      <w:start w:val="1"/>
      <w:numFmt w:val="upperLetter"/>
      <w:lvlText w:val="%9."/>
      <w:lvlJc w:val="left"/>
      <w:pPr>
        <w:tabs>
          <w:tab w:val="num" w:pos="8280"/>
        </w:tabs>
        <w:ind w:left="8280" w:hanging="360"/>
      </w:pPr>
    </w:lvl>
  </w:abstractNum>
  <w:abstractNum w:abstractNumId="27" w15:restartNumberingAfterBreak="0">
    <w:nsid w:val="6E452219"/>
    <w:multiLevelType w:val="multilevel"/>
    <w:tmpl w:val="CCA69EA2"/>
    <w:lvl w:ilvl="0">
      <w:start w:val="1"/>
      <w:numFmt w:val="upperLetter"/>
      <w:lvlText w:val="%1."/>
      <w:lvlJc w:val="left"/>
      <w:pPr>
        <w:tabs>
          <w:tab w:val="num" w:pos="2520"/>
        </w:tabs>
        <w:ind w:left="2520" w:hanging="360"/>
      </w:pPr>
    </w:lvl>
    <w:lvl w:ilvl="1" w:tentative="1">
      <w:start w:val="1"/>
      <w:numFmt w:val="upperLetter"/>
      <w:lvlText w:val="%2."/>
      <w:lvlJc w:val="left"/>
      <w:pPr>
        <w:tabs>
          <w:tab w:val="num" w:pos="3240"/>
        </w:tabs>
        <w:ind w:left="3240" w:hanging="360"/>
      </w:pPr>
    </w:lvl>
    <w:lvl w:ilvl="2" w:tentative="1">
      <w:start w:val="1"/>
      <w:numFmt w:val="upperLetter"/>
      <w:lvlText w:val="%3."/>
      <w:lvlJc w:val="left"/>
      <w:pPr>
        <w:tabs>
          <w:tab w:val="num" w:pos="3960"/>
        </w:tabs>
        <w:ind w:left="3960" w:hanging="360"/>
      </w:pPr>
    </w:lvl>
    <w:lvl w:ilvl="3" w:tentative="1">
      <w:start w:val="1"/>
      <w:numFmt w:val="upperLetter"/>
      <w:lvlText w:val="%4."/>
      <w:lvlJc w:val="left"/>
      <w:pPr>
        <w:tabs>
          <w:tab w:val="num" w:pos="4680"/>
        </w:tabs>
        <w:ind w:left="4680" w:hanging="360"/>
      </w:pPr>
    </w:lvl>
    <w:lvl w:ilvl="4" w:tentative="1">
      <w:start w:val="1"/>
      <w:numFmt w:val="upperLetter"/>
      <w:lvlText w:val="%5."/>
      <w:lvlJc w:val="left"/>
      <w:pPr>
        <w:tabs>
          <w:tab w:val="num" w:pos="5400"/>
        </w:tabs>
        <w:ind w:left="5400" w:hanging="360"/>
      </w:pPr>
    </w:lvl>
    <w:lvl w:ilvl="5" w:tentative="1">
      <w:start w:val="1"/>
      <w:numFmt w:val="upperLetter"/>
      <w:lvlText w:val="%6."/>
      <w:lvlJc w:val="left"/>
      <w:pPr>
        <w:tabs>
          <w:tab w:val="num" w:pos="6120"/>
        </w:tabs>
        <w:ind w:left="6120" w:hanging="360"/>
      </w:pPr>
    </w:lvl>
    <w:lvl w:ilvl="6" w:tentative="1">
      <w:start w:val="1"/>
      <w:numFmt w:val="upperLetter"/>
      <w:lvlText w:val="%7."/>
      <w:lvlJc w:val="left"/>
      <w:pPr>
        <w:tabs>
          <w:tab w:val="num" w:pos="6840"/>
        </w:tabs>
        <w:ind w:left="6840" w:hanging="360"/>
      </w:pPr>
    </w:lvl>
    <w:lvl w:ilvl="7" w:tentative="1">
      <w:start w:val="1"/>
      <w:numFmt w:val="upperLetter"/>
      <w:lvlText w:val="%8."/>
      <w:lvlJc w:val="left"/>
      <w:pPr>
        <w:tabs>
          <w:tab w:val="num" w:pos="7560"/>
        </w:tabs>
        <w:ind w:left="7560" w:hanging="360"/>
      </w:pPr>
    </w:lvl>
    <w:lvl w:ilvl="8" w:tentative="1">
      <w:start w:val="1"/>
      <w:numFmt w:val="upperLetter"/>
      <w:lvlText w:val="%9."/>
      <w:lvlJc w:val="left"/>
      <w:pPr>
        <w:tabs>
          <w:tab w:val="num" w:pos="8280"/>
        </w:tabs>
        <w:ind w:left="8280" w:hanging="360"/>
      </w:pPr>
    </w:lvl>
  </w:abstractNum>
  <w:abstractNum w:abstractNumId="28" w15:restartNumberingAfterBreak="0">
    <w:nsid w:val="70E42791"/>
    <w:multiLevelType w:val="hybridMultilevel"/>
    <w:tmpl w:val="C3809696"/>
    <w:lvl w:ilvl="0" w:tplc="9DD6B41A">
      <w:start w:val="1"/>
      <w:numFmt w:val="decimal"/>
      <w:lvlText w:val="%1."/>
      <w:lvlJc w:val="left"/>
      <w:pPr>
        <w:tabs>
          <w:tab w:val="num" w:pos="1080"/>
        </w:tabs>
        <w:ind w:left="1080" w:hanging="720"/>
      </w:pPr>
      <w:rPr>
        <w:rFonts w:hint="default"/>
        <w:b w:val="0"/>
        <w:strike w:val="0"/>
        <w:color w:val="auto"/>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7F30A7"/>
    <w:multiLevelType w:val="hybridMultilevel"/>
    <w:tmpl w:val="4FF84496"/>
    <w:lvl w:ilvl="0" w:tplc="C04E0124">
      <w:start w:val="11"/>
      <w:numFmt w:val="decimal"/>
      <w:lvlText w:val="%1."/>
      <w:lvlJc w:val="left"/>
      <w:pPr>
        <w:ind w:left="720" w:hanging="360"/>
      </w:pPr>
      <w:rPr>
        <w:rFonts w:hint="default"/>
        <w:b w:val="0"/>
        <w:strike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2012FE"/>
    <w:multiLevelType w:val="hybridMultilevel"/>
    <w:tmpl w:val="3B826BD0"/>
    <w:lvl w:ilvl="0" w:tplc="04090017">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num w:numId="1" w16cid:durableId="1562137202">
    <w:abstractNumId w:val="28"/>
  </w:num>
  <w:num w:numId="2" w16cid:durableId="155149034">
    <w:abstractNumId w:val="5"/>
  </w:num>
  <w:num w:numId="3" w16cid:durableId="1503549252">
    <w:abstractNumId w:val="14"/>
  </w:num>
  <w:num w:numId="4" w16cid:durableId="64649994">
    <w:abstractNumId w:val="4"/>
  </w:num>
  <w:num w:numId="5" w16cid:durableId="1064907978">
    <w:abstractNumId w:val="29"/>
  </w:num>
  <w:num w:numId="6" w16cid:durableId="1734695731">
    <w:abstractNumId w:val="27"/>
  </w:num>
  <w:num w:numId="7" w16cid:durableId="1745293478">
    <w:abstractNumId w:val="26"/>
  </w:num>
  <w:num w:numId="8" w16cid:durableId="876772652">
    <w:abstractNumId w:val="19"/>
  </w:num>
  <w:num w:numId="9" w16cid:durableId="1334382796">
    <w:abstractNumId w:val="16"/>
  </w:num>
  <w:num w:numId="10" w16cid:durableId="434401849">
    <w:abstractNumId w:val="10"/>
  </w:num>
  <w:num w:numId="11" w16cid:durableId="524750734">
    <w:abstractNumId w:val="7"/>
  </w:num>
  <w:num w:numId="12" w16cid:durableId="2143500302">
    <w:abstractNumId w:val="30"/>
  </w:num>
  <w:num w:numId="13" w16cid:durableId="1434125877">
    <w:abstractNumId w:val="22"/>
  </w:num>
  <w:num w:numId="14" w16cid:durableId="993142910">
    <w:abstractNumId w:val="8"/>
  </w:num>
  <w:num w:numId="15" w16cid:durableId="943540128">
    <w:abstractNumId w:val="15"/>
  </w:num>
  <w:num w:numId="16" w16cid:durableId="198514053">
    <w:abstractNumId w:val="21"/>
  </w:num>
  <w:num w:numId="17" w16cid:durableId="2064401947">
    <w:abstractNumId w:val="11"/>
  </w:num>
  <w:num w:numId="18" w16cid:durableId="477648731">
    <w:abstractNumId w:val="20"/>
  </w:num>
  <w:num w:numId="19" w16cid:durableId="131413667">
    <w:abstractNumId w:val="6"/>
  </w:num>
  <w:num w:numId="20" w16cid:durableId="37124143">
    <w:abstractNumId w:val="3"/>
  </w:num>
  <w:num w:numId="21" w16cid:durableId="967204106">
    <w:abstractNumId w:val="25"/>
  </w:num>
  <w:num w:numId="22" w16cid:durableId="808396451">
    <w:abstractNumId w:val="17"/>
  </w:num>
  <w:num w:numId="23" w16cid:durableId="1207911653">
    <w:abstractNumId w:val="18"/>
  </w:num>
  <w:num w:numId="24" w16cid:durableId="1098258549">
    <w:abstractNumId w:val="12"/>
  </w:num>
  <w:num w:numId="25" w16cid:durableId="970550166">
    <w:abstractNumId w:val="23"/>
  </w:num>
  <w:num w:numId="26" w16cid:durableId="287704587">
    <w:abstractNumId w:val="2"/>
  </w:num>
  <w:num w:numId="27" w16cid:durableId="1746686804">
    <w:abstractNumId w:val="13"/>
  </w:num>
  <w:num w:numId="28" w16cid:durableId="108670531">
    <w:abstractNumId w:val="24"/>
  </w:num>
  <w:num w:numId="29" w16cid:durableId="1767337161">
    <w:abstractNumId w:val="9"/>
  </w:num>
  <w:num w:numId="30" w16cid:durableId="334306286">
    <w:abstractNumId w:val="1"/>
  </w:num>
  <w:num w:numId="31" w16cid:durableId="109982341">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E65"/>
    <w:rsid w:val="000010A5"/>
    <w:rsid w:val="000041D3"/>
    <w:rsid w:val="00004ADE"/>
    <w:rsid w:val="00006BB4"/>
    <w:rsid w:val="00007898"/>
    <w:rsid w:val="00011E32"/>
    <w:rsid w:val="0001279D"/>
    <w:rsid w:val="00016A60"/>
    <w:rsid w:val="00016BD7"/>
    <w:rsid w:val="00016D30"/>
    <w:rsid w:val="00017837"/>
    <w:rsid w:val="00020126"/>
    <w:rsid w:val="00020B45"/>
    <w:rsid w:val="00020C39"/>
    <w:rsid w:val="00020CA2"/>
    <w:rsid w:val="00022E2F"/>
    <w:rsid w:val="00023537"/>
    <w:rsid w:val="00023B75"/>
    <w:rsid w:val="00024553"/>
    <w:rsid w:val="00025E8B"/>
    <w:rsid w:val="000267F9"/>
    <w:rsid w:val="00027D52"/>
    <w:rsid w:val="000305B0"/>
    <w:rsid w:val="00030EC3"/>
    <w:rsid w:val="00031564"/>
    <w:rsid w:val="00032C5C"/>
    <w:rsid w:val="000336D4"/>
    <w:rsid w:val="000371D3"/>
    <w:rsid w:val="00041C3D"/>
    <w:rsid w:val="00042ABF"/>
    <w:rsid w:val="00044360"/>
    <w:rsid w:val="00045864"/>
    <w:rsid w:val="00045D8F"/>
    <w:rsid w:val="00046A01"/>
    <w:rsid w:val="00050F4E"/>
    <w:rsid w:val="00052400"/>
    <w:rsid w:val="00053E6B"/>
    <w:rsid w:val="0005557D"/>
    <w:rsid w:val="00055B5A"/>
    <w:rsid w:val="00057064"/>
    <w:rsid w:val="000601C5"/>
    <w:rsid w:val="00061354"/>
    <w:rsid w:val="00062295"/>
    <w:rsid w:val="000623E9"/>
    <w:rsid w:val="00063FCC"/>
    <w:rsid w:val="00064633"/>
    <w:rsid w:val="00064AEF"/>
    <w:rsid w:val="00064EC2"/>
    <w:rsid w:val="00064F93"/>
    <w:rsid w:val="00065A0A"/>
    <w:rsid w:val="00066231"/>
    <w:rsid w:val="000675CC"/>
    <w:rsid w:val="0006763B"/>
    <w:rsid w:val="00072F9A"/>
    <w:rsid w:val="00073D12"/>
    <w:rsid w:val="000756FF"/>
    <w:rsid w:val="00075C34"/>
    <w:rsid w:val="00076425"/>
    <w:rsid w:val="00076D2D"/>
    <w:rsid w:val="000779DB"/>
    <w:rsid w:val="00080412"/>
    <w:rsid w:val="00080420"/>
    <w:rsid w:val="00083B8D"/>
    <w:rsid w:val="00084B41"/>
    <w:rsid w:val="00085562"/>
    <w:rsid w:val="00086406"/>
    <w:rsid w:val="000869A7"/>
    <w:rsid w:val="00087CBB"/>
    <w:rsid w:val="00091A8F"/>
    <w:rsid w:val="00091B70"/>
    <w:rsid w:val="000925B8"/>
    <w:rsid w:val="000935DB"/>
    <w:rsid w:val="00094068"/>
    <w:rsid w:val="000948FD"/>
    <w:rsid w:val="000949D4"/>
    <w:rsid w:val="000A396F"/>
    <w:rsid w:val="000A75F1"/>
    <w:rsid w:val="000A7608"/>
    <w:rsid w:val="000B2B2E"/>
    <w:rsid w:val="000B3242"/>
    <w:rsid w:val="000B4886"/>
    <w:rsid w:val="000B55DC"/>
    <w:rsid w:val="000B5DB8"/>
    <w:rsid w:val="000B6938"/>
    <w:rsid w:val="000B7CD9"/>
    <w:rsid w:val="000C0FB6"/>
    <w:rsid w:val="000C40CF"/>
    <w:rsid w:val="000C7517"/>
    <w:rsid w:val="000C797C"/>
    <w:rsid w:val="000D02D2"/>
    <w:rsid w:val="000D06F2"/>
    <w:rsid w:val="000D2A1B"/>
    <w:rsid w:val="000D2F04"/>
    <w:rsid w:val="000D54CE"/>
    <w:rsid w:val="000D602A"/>
    <w:rsid w:val="000D6F36"/>
    <w:rsid w:val="000D7568"/>
    <w:rsid w:val="000D7F56"/>
    <w:rsid w:val="000E0FE4"/>
    <w:rsid w:val="000E19AD"/>
    <w:rsid w:val="000E3879"/>
    <w:rsid w:val="000E5BAF"/>
    <w:rsid w:val="000E60DB"/>
    <w:rsid w:val="000E7339"/>
    <w:rsid w:val="000E7FBF"/>
    <w:rsid w:val="000F048A"/>
    <w:rsid w:val="000F054A"/>
    <w:rsid w:val="000F0AC9"/>
    <w:rsid w:val="000F11F6"/>
    <w:rsid w:val="000F1757"/>
    <w:rsid w:val="000F1FF8"/>
    <w:rsid w:val="000F26E6"/>
    <w:rsid w:val="000F2B21"/>
    <w:rsid w:val="000F304D"/>
    <w:rsid w:val="000F3B7A"/>
    <w:rsid w:val="000F5999"/>
    <w:rsid w:val="000F6E48"/>
    <w:rsid w:val="000F6EA7"/>
    <w:rsid w:val="00100BDF"/>
    <w:rsid w:val="00100D5E"/>
    <w:rsid w:val="00100F77"/>
    <w:rsid w:val="00101428"/>
    <w:rsid w:val="001016B3"/>
    <w:rsid w:val="00102A9A"/>
    <w:rsid w:val="00102E3A"/>
    <w:rsid w:val="00107BBD"/>
    <w:rsid w:val="00111BAE"/>
    <w:rsid w:val="00112F7B"/>
    <w:rsid w:val="00114376"/>
    <w:rsid w:val="00115118"/>
    <w:rsid w:val="00116D9D"/>
    <w:rsid w:val="0012006F"/>
    <w:rsid w:val="00120E98"/>
    <w:rsid w:val="00120EEF"/>
    <w:rsid w:val="00122111"/>
    <w:rsid w:val="001227DE"/>
    <w:rsid w:val="0012282A"/>
    <w:rsid w:val="00123A83"/>
    <w:rsid w:val="001251CE"/>
    <w:rsid w:val="00126174"/>
    <w:rsid w:val="001311E4"/>
    <w:rsid w:val="00134A2A"/>
    <w:rsid w:val="00137CB5"/>
    <w:rsid w:val="001411E3"/>
    <w:rsid w:val="00143E68"/>
    <w:rsid w:val="00144354"/>
    <w:rsid w:val="00146DB3"/>
    <w:rsid w:val="00150ACF"/>
    <w:rsid w:val="00150BA6"/>
    <w:rsid w:val="001518FC"/>
    <w:rsid w:val="00151B2B"/>
    <w:rsid w:val="001521CB"/>
    <w:rsid w:val="00152D77"/>
    <w:rsid w:val="001538A5"/>
    <w:rsid w:val="001549EA"/>
    <w:rsid w:val="0015564D"/>
    <w:rsid w:val="00160ABB"/>
    <w:rsid w:val="00161AEB"/>
    <w:rsid w:val="0016377F"/>
    <w:rsid w:val="00163AA0"/>
    <w:rsid w:val="0016410F"/>
    <w:rsid w:val="00165A82"/>
    <w:rsid w:val="0016689E"/>
    <w:rsid w:val="00166ED4"/>
    <w:rsid w:val="00167FBC"/>
    <w:rsid w:val="00170D23"/>
    <w:rsid w:val="00171DAC"/>
    <w:rsid w:val="00171E54"/>
    <w:rsid w:val="00171E69"/>
    <w:rsid w:val="00171EA5"/>
    <w:rsid w:val="00172290"/>
    <w:rsid w:val="00172DEF"/>
    <w:rsid w:val="00173B8E"/>
    <w:rsid w:val="0017455B"/>
    <w:rsid w:val="0017533C"/>
    <w:rsid w:val="00175663"/>
    <w:rsid w:val="00176D39"/>
    <w:rsid w:val="00177180"/>
    <w:rsid w:val="00177987"/>
    <w:rsid w:val="00180F40"/>
    <w:rsid w:val="0018318B"/>
    <w:rsid w:val="00184CED"/>
    <w:rsid w:val="00186B58"/>
    <w:rsid w:val="00186E83"/>
    <w:rsid w:val="00191BC0"/>
    <w:rsid w:val="0019213B"/>
    <w:rsid w:val="0019482C"/>
    <w:rsid w:val="00197BF7"/>
    <w:rsid w:val="001A03E5"/>
    <w:rsid w:val="001A06E4"/>
    <w:rsid w:val="001A0CB8"/>
    <w:rsid w:val="001A1329"/>
    <w:rsid w:val="001A1FCA"/>
    <w:rsid w:val="001A3151"/>
    <w:rsid w:val="001A3B48"/>
    <w:rsid w:val="001A4270"/>
    <w:rsid w:val="001A45EF"/>
    <w:rsid w:val="001A592A"/>
    <w:rsid w:val="001A6FEF"/>
    <w:rsid w:val="001A7819"/>
    <w:rsid w:val="001A7ECF"/>
    <w:rsid w:val="001B18C3"/>
    <w:rsid w:val="001B38DC"/>
    <w:rsid w:val="001B45E7"/>
    <w:rsid w:val="001B568E"/>
    <w:rsid w:val="001B573C"/>
    <w:rsid w:val="001B6D11"/>
    <w:rsid w:val="001B7CA0"/>
    <w:rsid w:val="001C2C46"/>
    <w:rsid w:val="001C2DD5"/>
    <w:rsid w:val="001C454B"/>
    <w:rsid w:val="001C5CBE"/>
    <w:rsid w:val="001C6C89"/>
    <w:rsid w:val="001C77D8"/>
    <w:rsid w:val="001D0628"/>
    <w:rsid w:val="001D12F9"/>
    <w:rsid w:val="001D2011"/>
    <w:rsid w:val="001D3109"/>
    <w:rsid w:val="001D4F51"/>
    <w:rsid w:val="001D661A"/>
    <w:rsid w:val="001D6A10"/>
    <w:rsid w:val="001E0450"/>
    <w:rsid w:val="001E0A31"/>
    <w:rsid w:val="001E0B08"/>
    <w:rsid w:val="001E27E1"/>
    <w:rsid w:val="001E3B48"/>
    <w:rsid w:val="001E47B3"/>
    <w:rsid w:val="001E5B86"/>
    <w:rsid w:val="001E5D00"/>
    <w:rsid w:val="001E6A16"/>
    <w:rsid w:val="001F2BEB"/>
    <w:rsid w:val="001F2E25"/>
    <w:rsid w:val="001F4AE4"/>
    <w:rsid w:val="001F545F"/>
    <w:rsid w:val="00204835"/>
    <w:rsid w:val="00205FA2"/>
    <w:rsid w:val="00206866"/>
    <w:rsid w:val="002071D1"/>
    <w:rsid w:val="002072ED"/>
    <w:rsid w:val="002079DC"/>
    <w:rsid w:val="00211DC5"/>
    <w:rsid w:val="002121B3"/>
    <w:rsid w:val="00215C6C"/>
    <w:rsid w:val="0021668C"/>
    <w:rsid w:val="002168AD"/>
    <w:rsid w:val="00216D6C"/>
    <w:rsid w:val="00220210"/>
    <w:rsid w:val="002203BE"/>
    <w:rsid w:val="0022057F"/>
    <w:rsid w:val="00220CB6"/>
    <w:rsid w:val="002211CA"/>
    <w:rsid w:val="002221A0"/>
    <w:rsid w:val="002222B9"/>
    <w:rsid w:val="00222522"/>
    <w:rsid w:val="002244C2"/>
    <w:rsid w:val="00224947"/>
    <w:rsid w:val="002260C0"/>
    <w:rsid w:val="00226545"/>
    <w:rsid w:val="002266AB"/>
    <w:rsid w:val="00230A83"/>
    <w:rsid w:val="002315E1"/>
    <w:rsid w:val="00233198"/>
    <w:rsid w:val="002346A0"/>
    <w:rsid w:val="002352F7"/>
    <w:rsid w:val="00235890"/>
    <w:rsid w:val="00235EFF"/>
    <w:rsid w:val="00236DBC"/>
    <w:rsid w:val="00240542"/>
    <w:rsid w:val="002422F8"/>
    <w:rsid w:val="0024374B"/>
    <w:rsid w:val="002439A6"/>
    <w:rsid w:val="00245923"/>
    <w:rsid w:val="002466B0"/>
    <w:rsid w:val="00247CAC"/>
    <w:rsid w:val="002500B2"/>
    <w:rsid w:val="00250E5B"/>
    <w:rsid w:val="00251D7E"/>
    <w:rsid w:val="00252019"/>
    <w:rsid w:val="00253AE7"/>
    <w:rsid w:val="00253C9B"/>
    <w:rsid w:val="00253E93"/>
    <w:rsid w:val="002547B6"/>
    <w:rsid w:val="00255712"/>
    <w:rsid w:val="00255F18"/>
    <w:rsid w:val="00257366"/>
    <w:rsid w:val="00257ABC"/>
    <w:rsid w:val="002610F0"/>
    <w:rsid w:val="002629A2"/>
    <w:rsid w:val="002651E8"/>
    <w:rsid w:val="0026758C"/>
    <w:rsid w:val="0027063A"/>
    <w:rsid w:val="002724FB"/>
    <w:rsid w:val="0027615E"/>
    <w:rsid w:val="00276471"/>
    <w:rsid w:val="00277940"/>
    <w:rsid w:val="00277A20"/>
    <w:rsid w:val="00281A92"/>
    <w:rsid w:val="00285C6E"/>
    <w:rsid w:val="0028758F"/>
    <w:rsid w:val="00290F10"/>
    <w:rsid w:val="00291E2C"/>
    <w:rsid w:val="00293DC6"/>
    <w:rsid w:val="002945E7"/>
    <w:rsid w:val="0029548E"/>
    <w:rsid w:val="002956F4"/>
    <w:rsid w:val="002959B8"/>
    <w:rsid w:val="00297869"/>
    <w:rsid w:val="002A01B7"/>
    <w:rsid w:val="002A0468"/>
    <w:rsid w:val="002A0484"/>
    <w:rsid w:val="002A2E89"/>
    <w:rsid w:val="002A3094"/>
    <w:rsid w:val="002A353F"/>
    <w:rsid w:val="002A3B1E"/>
    <w:rsid w:val="002A3EC6"/>
    <w:rsid w:val="002A68CC"/>
    <w:rsid w:val="002A6B35"/>
    <w:rsid w:val="002B05EF"/>
    <w:rsid w:val="002B0BE5"/>
    <w:rsid w:val="002B1D87"/>
    <w:rsid w:val="002B2562"/>
    <w:rsid w:val="002B29E2"/>
    <w:rsid w:val="002B3881"/>
    <w:rsid w:val="002B3F8E"/>
    <w:rsid w:val="002B42C9"/>
    <w:rsid w:val="002B4801"/>
    <w:rsid w:val="002B4CF4"/>
    <w:rsid w:val="002B56AC"/>
    <w:rsid w:val="002B73FB"/>
    <w:rsid w:val="002B7BF7"/>
    <w:rsid w:val="002B7DF6"/>
    <w:rsid w:val="002C0ECD"/>
    <w:rsid w:val="002C2C34"/>
    <w:rsid w:val="002C3BB5"/>
    <w:rsid w:val="002C4D01"/>
    <w:rsid w:val="002C7028"/>
    <w:rsid w:val="002C7B2C"/>
    <w:rsid w:val="002C7F52"/>
    <w:rsid w:val="002D261F"/>
    <w:rsid w:val="002D277F"/>
    <w:rsid w:val="002D3F67"/>
    <w:rsid w:val="002D496F"/>
    <w:rsid w:val="002D671E"/>
    <w:rsid w:val="002E0CAF"/>
    <w:rsid w:val="002E0F35"/>
    <w:rsid w:val="002E3F4C"/>
    <w:rsid w:val="002E403C"/>
    <w:rsid w:val="002E4652"/>
    <w:rsid w:val="002E7E49"/>
    <w:rsid w:val="002F067F"/>
    <w:rsid w:val="002F06BB"/>
    <w:rsid w:val="002F1DE0"/>
    <w:rsid w:val="002F38C2"/>
    <w:rsid w:val="002F61FC"/>
    <w:rsid w:val="0030033D"/>
    <w:rsid w:val="00302B52"/>
    <w:rsid w:val="00302BB6"/>
    <w:rsid w:val="00303991"/>
    <w:rsid w:val="00304699"/>
    <w:rsid w:val="00304AB0"/>
    <w:rsid w:val="00304F75"/>
    <w:rsid w:val="00306A52"/>
    <w:rsid w:val="003103F4"/>
    <w:rsid w:val="00311E22"/>
    <w:rsid w:val="0031273F"/>
    <w:rsid w:val="00313FC8"/>
    <w:rsid w:val="003143E1"/>
    <w:rsid w:val="0031509F"/>
    <w:rsid w:val="00315103"/>
    <w:rsid w:val="00317B9B"/>
    <w:rsid w:val="00323014"/>
    <w:rsid w:val="00323A8F"/>
    <w:rsid w:val="00326210"/>
    <w:rsid w:val="003278EA"/>
    <w:rsid w:val="00332115"/>
    <w:rsid w:val="003336CF"/>
    <w:rsid w:val="00333B73"/>
    <w:rsid w:val="00334286"/>
    <w:rsid w:val="0033447F"/>
    <w:rsid w:val="00335223"/>
    <w:rsid w:val="00335A96"/>
    <w:rsid w:val="00336223"/>
    <w:rsid w:val="00336654"/>
    <w:rsid w:val="00336E2B"/>
    <w:rsid w:val="0033743D"/>
    <w:rsid w:val="003374B9"/>
    <w:rsid w:val="00337EA4"/>
    <w:rsid w:val="003404C1"/>
    <w:rsid w:val="00340DD6"/>
    <w:rsid w:val="00342721"/>
    <w:rsid w:val="00343EB5"/>
    <w:rsid w:val="00344A6E"/>
    <w:rsid w:val="00344D09"/>
    <w:rsid w:val="0034504F"/>
    <w:rsid w:val="00345103"/>
    <w:rsid w:val="0034568B"/>
    <w:rsid w:val="00345F74"/>
    <w:rsid w:val="00346609"/>
    <w:rsid w:val="003519B2"/>
    <w:rsid w:val="0035409C"/>
    <w:rsid w:val="00354425"/>
    <w:rsid w:val="003545B0"/>
    <w:rsid w:val="0035504E"/>
    <w:rsid w:val="0035696C"/>
    <w:rsid w:val="00356B79"/>
    <w:rsid w:val="00357263"/>
    <w:rsid w:val="00357B7D"/>
    <w:rsid w:val="00361D25"/>
    <w:rsid w:val="00362A45"/>
    <w:rsid w:val="00362AEE"/>
    <w:rsid w:val="00362FFA"/>
    <w:rsid w:val="0036538D"/>
    <w:rsid w:val="00365644"/>
    <w:rsid w:val="00365D88"/>
    <w:rsid w:val="00366137"/>
    <w:rsid w:val="003676EE"/>
    <w:rsid w:val="00367F6F"/>
    <w:rsid w:val="003701AF"/>
    <w:rsid w:val="00371E83"/>
    <w:rsid w:val="0037371E"/>
    <w:rsid w:val="003739C8"/>
    <w:rsid w:val="00376125"/>
    <w:rsid w:val="003800F0"/>
    <w:rsid w:val="00380586"/>
    <w:rsid w:val="00380CBA"/>
    <w:rsid w:val="003821C5"/>
    <w:rsid w:val="003834E1"/>
    <w:rsid w:val="003849AB"/>
    <w:rsid w:val="00385CBD"/>
    <w:rsid w:val="00385EFE"/>
    <w:rsid w:val="00387F91"/>
    <w:rsid w:val="00390613"/>
    <w:rsid w:val="00391A70"/>
    <w:rsid w:val="0039612E"/>
    <w:rsid w:val="00397BCA"/>
    <w:rsid w:val="00397D98"/>
    <w:rsid w:val="003A2013"/>
    <w:rsid w:val="003A5738"/>
    <w:rsid w:val="003A6CB1"/>
    <w:rsid w:val="003A7F06"/>
    <w:rsid w:val="003B35F3"/>
    <w:rsid w:val="003B5376"/>
    <w:rsid w:val="003B57B9"/>
    <w:rsid w:val="003B647A"/>
    <w:rsid w:val="003B6B51"/>
    <w:rsid w:val="003B76C1"/>
    <w:rsid w:val="003C0C42"/>
    <w:rsid w:val="003C11FB"/>
    <w:rsid w:val="003C32D2"/>
    <w:rsid w:val="003C5925"/>
    <w:rsid w:val="003C5FE7"/>
    <w:rsid w:val="003C6C41"/>
    <w:rsid w:val="003D4E4B"/>
    <w:rsid w:val="003D5A29"/>
    <w:rsid w:val="003D6330"/>
    <w:rsid w:val="003D7BC3"/>
    <w:rsid w:val="003E0AB1"/>
    <w:rsid w:val="003E1BED"/>
    <w:rsid w:val="003E231D"/>
    <w:rsid w:val="003E2453"/>
    <w:rsid w:val="003E2FF6"/>
    <w:rsid w:val="003E361F"/>
    <w:rsid w:val="003E3D58"/>
    <w:rsid w:val="003E474B"/>
    <w:rsid w:val="003E569D"/>
    <w:rsid w:val="003E6051"/>
    <w:rsid w:val="003E7D5B"/>
    <w:rsid w:val="003F0731"/>
    <w:rsid w:val="003F0F11"/>
    <w:rsid w:val="003F14C8"/>
    <w:rsid w:val="003F204A"/>
    <w:rsid w:val="003F3DBE"/>
    <w:rsid w:val="003F5829"/>
    <w:rsid w:val="003F5C4D"/>
    <w:rsid w:val="003F6629"/>
    <w:rsid w:val="003F6A30"/>
    <w:rsid w:val="003F7D12"/>
    <w:rsid w:val="004006EA"/>
    <w:rsid w:val="004042BC"/>
    <w:rsid w:val="004049A0"/>
    <w:rsid w:val="00406AF9"/>
    <w:rsid w:val="004075E5"/>
    <w:rsid w:val="0041161F"/>
    <w:rsid w:val="00412CBF"/>
    <w:rsid w:val="00413675"/>
    <w:rsid w:val="00415755"/>
    <w:rsid w:val="004157ED"/>
    <w:rsid w:val="00416865"/>
    <w:rsid w:val="00416A51"/>
    <w:rsid w:val="004176F5"/>
    <w:rsid w:val="004216F3"/>
    <w:rsid w:val="00421F7A"/>
    <w:rsid w:val="004224B4"/>
    <w:rsid w:val="004228D8"/>
    <w:rsid w:val="00422A62"/>
    <w:rsid w:val="00424C7A"/>
    <w:rsid w:val="00424E9F"/>
    <w:rsid w:val="0042562A"/>
    <w:rsid w:val="00430C1E"/>
    <w:rsid w:val="00431611"/>
    <w:rsid w:val="00433B39"/>
    <w:rsid w:val="00434013"/>
    <w:rsid w:val="0043573F"/>
    <w:rsid w:val="00435AC0"/>
    <w:rsid w:val="0043690C"/>
    <w:rsid w:val="00436F8E"/>
    <w:rsid w:val="0044054C"/>
    <w:rsid w:val="00440927"/>
    <w:rsid w:val="004412D5"/>
    <w:rsid w:val="004441AD"/>
    <w:rsid w:val="00446F62"/>
    <w:rsid w:val="00447315"/>
    <w:rsid w:val="00450AF9"/>
    <w:rsid w:val="00450CDD"/>
    <w:rsid w:val="00451144"/>
    <w:rsid w:val="00453EC5"/>
    <w:rsid w:val="00454E21"/>
    <w:rsid w:val="00455B31"/>
    <w:rsid w:val="00456DBC"/>
    <w:rsid w:val="004575DE"/>
    <w:rsid w:val="00460DF6"/>
    <w:rsid w:val="00461DC6"/>
    <w:rsid w:val="00462509"/>
    <w:rsid w:val="00462595"/>
    <w:rsid w:val="00462AD6"/>
    <w:rsid w:val="004639A8"/>
    <w:rsid w:val="00464D3E"/>
    <w:rsid w:val="00464FDB"/>
    <w:rsid w:val="00466B6D"/>
    <w:rsid w:val="00467908"/>
    <w:rsid w:val="00470AB4"/>
    <w:rsid w:val="0047166F"/>
    <w:rsid w:val="004722AC"/>
    <w:rsid w:val="00472BE9"/>
    <w:rsid w:val="0047306B"/>
    <w:rsid w:val="0047335B"/>
    <w:rsid w:val="00474524"/>
    <w:rsid w:val="0047486D"/>
    <w:rsid w:val="00474A7A"/>
    <w:rsid w:val="00474BBB"/>
    <w:rsid w:val="00475497"/>
    <w:rsid w:val="00477729"/>
    <w:rsid w:val="0048044A"/>
    <w:rsid w:val="0048201B"/>
    <w:rsid w:val="00482BCD"/>
    <w:rsid w:val="004831BD"/>
    <w:rsid w:val="00483561"/>
    <w:rsid w:val="004869C2"/>
    <w:rsid w:val="00486A49"/>
    <w:rsid w:val="004872FA"/>
    <w:rsid w:val="00490687"/>
    <w:rsid w:val="00492D87"/>
    <w:rsid w:val="00493B54"/>
    <w:rsid w:val="00496FD3"/>
    <w:rsid w:val="004A19C1"/>
    <w:rsid w:val="004A1C68"/>
    <w:rsid w:val="004A24D6"/>
    <w:rsid w:val="004A27D9"/>
    <w:rsid w:val="004A3278"/>
    <w:rsid w:val="004A45F6"/>
    <w:rsid w:val="004A5349"/>
    <w:rsid w:val="004A697F"/>
    <w:rsid w:val="004A7216"/>
    <w:rsid w:val="004A7FC9"/>
    <w:rsid w:val="004B03D8"/>
    <w:rsid w:val="004B0728"/>
    <w:rsid w:val="004B2152"/>
    <w:rsid w:val="004B21F8"/>
    <w:rsid w:val="004B32E1"/>
    <w:rsid w:val="004B3734"/>
    <w:rsid w:val="004B4412"/>
    <w:rsid w:val="004B5DAA"/>
    <w:rsid w:val="004B67F5"/>
    <w:rsid w:val="004B7E19"/>
    <w:rsid w:val="004C349B"/>
    <w:rsid w:val="004C3CDD"/>
    <w:rsid w:val="004C40BE"/>
    <w:rsid w:val="004C4249"/>
    <w:rsid w:val="004C436F"/>
    <w:rsid w:val="004C4562"/>
    <w:rsid w:val="004C59C7"/>
    <w:rsid w:val="004C5A3A"/>
    <w:rsid w:val="004C6C56"/>
    <w:rsid w:val="004C7BF4"/>
    <w:rsid w:val="004D00B2"/>
    <w:rsid w:val="004D1245"/>
    <w:rsid w:val="004D1B59"/>
    <w:rsid w:val="004D2326"/>
    <w:rsid w:val="004D3118"/>
    <w:rsid w:val="004D48B4"/>
    <w:rsid w:val="004D5ADF"/>
    <w:rsid w:val="004D5E57"/>
    <w:rsid w:val="004D671F"/>
    <w:rsid w:val="004D798A"/>
    <w:rsid w:val="004E3690"/>
    <w:rsid w:val="004E3914"/>
    <w:rsid w:val="004E415C"/>
    <w:rsid w:val="004E51C3"/>
    <w:rsid w:val="004E5627"/>
    <w:rsid w:val="004E7B7B"/>
    <w:rsid w:val="004F0535"/>
    <w:rsid w:val="004F0D03"/>
    <w:rsid w:val="004F12AA"/>
    <w:rsid w:val="004F22B7"/>
    <w:rsid w:val="004F2B19"/>
    <w:rsid w:val="004F2FB0"/>
    <w:rsid w:val="004F382C"/>
    <w:rsid w:val="004F3F15"/>
    <w:rsid w:val="004F4319"/>
    <w:rsid w:val="004F46B1"/>
    <w:rsid w:val="004F6E4A"/>
    <w:rsid w:val="004F7F2D"/>
    <w:rsid w:val="0050128C"/>
    <w:rsid w:val="00502753"/>
    <w:rsid w:val="00502D48"/>
    <w:rsid w:val="00502F0E"/>
    <w:rsid w:val="00505C8F"/>
    <w:rsid w:val="00507F39"/>
    <w:rsid w:val="00510541"/>
    <w:rsid w:val="0051352A"/>
    <w:rsid w:val="00513B95"/>
    <w:rsid w:val="0051605C"/>
    <w:rsid w:val="005164DB"/>
    <w:rsid w:val="0051681A"/>
    <w:rsid w:val="00520A13"/>
    <w:rsid w:val="0052266C"/>
    <w:rsid w:val="00522937"/>
    <w:rsid w:val="005234E2"/>
    <w:rsid w:val="005246CC"/>
    <w:rsid w:val="00524961"/>
    <w:rsid w:val="0052497F"/>
    <w:rsid w:val="0052522A"/>
    <w:rsid w:val="00525DE2"/>
    <w:rsid w:val="00527A64"/>
    <w:rsid w:val="00527CE3"/>
    <w:rsid w:val="00527F4E"/>
    <w:rsid w:val="0053000A"/>
    <w:rsid w:val="00530A67"/>
    <w:rsid w:val="00531284"/>
    <w:rsid w:val="00531928"/>
    <w:rsid w:val="005330A2"/>
    <w:rsid w:val="00533DCA"/>
    <w:rsid w:val="00533FE8"/>
    <w:rsid w:val="00535278"/>
    <w:rsid w:val="0053541C"/>
    <w:rsid w:val="00535E60"/>
    <w:rsid w:val="005367F8"/>
    <w:rsid w:val="00536942"/>
    <w:rsid w:val="0053791C"/>
    <w:rsid w:val="005405E0"/>
    <w:rsid w:val="00540CCC"/>
    <w:rsid w:val="00550FDB"/>
    <w:rsid w:val="00551F6D"/>
    <w:rsid w:val="005529BA"/>
    <w:rsid w:val="00553F3B"/>
    <w:rsid w:val="0055414A"/>
    <w:rsid w:val="005547FD"/>
    <w:rsid w:val="005577BA"/>
    <w:rsid w:val="00560C52"/>
    <w:rsid w:val="00563905"/>
    <w:rsid w:val="00564408"/>
    <w:rsid w:val="00565EA7"/>
    <w:rsid w:val="00567EDE"/>
    <w:rsid w:val="005705F4"/>
    <w:rsid w:val="00572A59"/>
    <w:rsid w:val="00573EC2"/>
    <w:rsid w:val="00580485"/>
    <w:rsid w:val="005842B2"/>
    <w:rsid w:val="00584CE7"/>
    <w:rsid w:val="00586ECC"/>
    <w:rsid w:val="005911F7"/>
    <w:rsid w:val="005938C2"/>
    <w:rsid w:val="00595259"/>
    <w:rsid w:val="00595A67"/>
    <w:rsid w:val="00595BED"/>
    <w:rsid w:val="00596E97"/>
    <w:rsid w:val="00597119"/>
    <w:rsid w:val="005977F0"/>
    <w:rsid w:val="005A0DCE"/>
    <w:rsid w:val="005A1107"/>
    <w:rsid w:val="005A30F6"/>
    <w:rsid w:val="005A3E3B"/>
    <w:rsid w:val="005A3F3C"/>
    <w:rsid w:val="005A45E4"/>
    <w:rsid w:val="005B10CC"/>
    <w:rsid w:val="005B2A6C"/>
    <w:rsid w:val="005B2E09"/>
    <w:rsid w:val="005B3254"/>
    <w:rsid w:val="005B5565"/>
    <w:rsid w:val="005B6D86"/>
    <w:rsid w:val="005C11DC"/>
    <w:rsid w:val="005C1AAF"/>
    <w:rsid w:val="005C241A"/>
    <w:rsid w:val="005C2D9C"/>
    <w:rsid w:val="005C38DA"/>
    <w:rsid w:val="005C391A"/>
    <w:rsid w:val="005C404A"/>
    <w:rsid w:val="005C6D5A"/>
    <w:rsid w:val="005C7118"/>
    <w:rsid w:val="005C751F"/>
    <w:rsid w:val="005D26A8"/>
    <w:rsid w:val="005D2902"/>
    <w:rsid w:val="005D30F5"/>
    <w:rsid w:val="005D363F"/>
    <w:rsid w:val="005D50F2"/>
    <w:rsid w:val="005D54D8"/>
    <w:rsid w:val="005D588B"/>
    <w:rsid w:val="005D7829"/>
    <w:rsid w:val="005E06D7"/>
    <w:rsid w:val="005E21B9"/>
    <w:rsid w:val="005E4FBD"/>
    <w:rsid w:val="005E5FB0"/>
    <w:rsid w:val="005E5FE7"/>
    <w:rsid w:val="005E7B76"/>
    <w:rsid w:val="005E7CA7"/>
    <w:rsid w:val="005F17E6"/>
    <w:rsid w:val="005F1F82"/>
    <w:rsid w:val="005F2366"/>
    <w:rsid w:val="005F32B8"/>
    <w:rsid w:val="005F37AB"/>
    <w:rsid w:val="005F5959"/>
    <w:rsid w:val="005F63CE"/>
    <w:rsid w:val="006011E1"/>
    <w:rsid w:val="00601663"/>
    <w:rsid w:val="00603381"/>
    <w:rsid w:val="00603645"/>
    <w:rsid w:val="00606E8C"/>
    <w:rsid w:val="00611D1E"/>
    <w:rsid w:val="00615AB8"/>
    <w:rsid w:val="00615B99"/>
    <w:rsid w:val="006163E6"/>
    <w:rsid w:val="006207A2"/>
    <w:rsid w:val="00620AEC"/>
    <w:rsid w:val="00620F41"/>
    <w:rsid w:val="00622727"/>
    <w:rsid w:val="0062655D"/>
    <w:rsid w:val="00630DE9"/>
    <w:rsid w:val="00630E8F"/>
    <w:rsid w:val="00631502"/>
    <w:rsid w:val="00632C5E"/>
    <w:rsid w:val="00632EB5"/>
    <w:rsid w:val="0063435D"/>
    <w:rsid w:val="006347BF"/>
    <w:rsid w:val="006358A1"/>
    <w:rsid w:val="006358D9"/>
    <w:rsid w:val="00637071"/>
    <w:rsid w:val="00637783"/>
    <w:rsid w:val="006406A6"/>
    <w:rsid w:val="00641599"/>
    <w:rsid w:val="006418E9"/>
    <w:rsid w:val="00641F9D"/>
    <w:rsid w:val="006431EB"/>
    <w:rsid w:val="006446B0"/>
    <w:rsid w:val="006459E3"/>
    <w:rsid w:val="00645C6D"/>
    <w:rsid w:val="00646856"/>
    <w:rsid w:val="00646F3B"/>
    <w:rsid w:val="00647238"/>
    <w:rsid w:val="00647D1F"/>
    <w:rsid w:val="0065057C"/>
    <w:rsid w:val="00651B64"/>
    <w:rsid w:val="00652870"/>
    <w:rsid w:val="006528BA"/>
    <w:rsid w:val="00653D93"/>
    <w:rsid w:val="006547BD"/>
    <w:rsid w:val="00654C5B"/>
    <w:rsid w:val="00655157"/>
    <w:rsid w:val="006551C2"/>
    <w:rsid w:val="006557FD"/>
    <w:rsid w:val="006570FC"/>
    <w:rsid w:val="00657FB8"/>
    <w:rsid w:val="006601A9"/>
    <w:rsid w:val="00660AD8"/>
    <w:rsid w:val="00663839"/>
    <w:rsid w:val="00664E41"/>
    <w:rsid w:val="00665819"/>
    <w:rsid w:val="006660B6"/>
    <w:rsid w:val="0066621A"/>
    <w:rsid w:val="006715E8"/>
    <w:rsid w:val="006719B6"/>
    <w:rsid w:val="0067226A"/>
    <w:rsid w:val="00673C02"/>
    <w:rsid w:val="00673F62"/>
    <w:rsid w:val="0067430B"/>
    <w:rsid w:val="00677014"/>
    <w:rsid w:val="006778CE"/>
    <w:rsid w:val="0068104B"/>
    <w:rsid w:val="00681C6B"/>
    <w:rsid w:val="0068348C"/>
    <w:rsid w:val="00683D28"/>
    <w:rsid w:val="00683FA0"/>
    <w:rsid w:val="006849EE"/>
    <w:rsid w:val="00694C8A"/>
    <w:rsid w:val="00695E34"/>
    <w:rsid w:val="0069714D"/>
    <w:rsid w:val="00697E63"/>
    <w:rsid w:val="006A0436"/>
    <w:rsid w:val="006A0E00"/>
    <w:rsid w:val="006A2B4A"/>
    <w:rsid w:val="006A323F"/>
    <w:rsid w:val="006A37FC"/>
    <w:rsid w:val="006A3B2D"/>
    <w:rsid w:val="006A5D33"/>
    <w:rsid w:val="006A64F4"/>
    <w:rsid w:val="006B16C2"/>
    <w:rsid w:val="006B1AD6"/>
    <w:rsid w:val="006B218B"/>
    <w:rsid w:val="006B4277"/>
    <w:rsid w:val="006B68FC"/>
    <w:rsid w:val="006C6052"/>
    <w:rsid w:val="006C6B94"/>
    <w:rsid w:val="006C720B"/>
    <w:rsid w:val="006D09E0"/>
    <w:rsid w:val="006D0D7A"/>
    <w:rsid w:val="006D2130"/>
    <w:rsid w:val="006D24B1"/>
    <w:rsid w:val="006D3925"/>
    <w:rsid w:val="006D5894"/>
    <w:rsid w:val="006D5D5D"/>
    <w:rsid w:val="006D6AC1"/>
    <w:rsid w:val="006D6CF1"/>
    <w:rsid w:val="006E1D88"/>
    <w:rsid w:val="006E4325"/>
    <w:rsid w:val="006E5B75"/>
    <w:rsid w:val="006F0B53"/>
    <w:rsid w:val="006F34C1"/>
    <w:rsid w:val="006F392D"/>
    <w:rsid w:val="006F40EC"/>
    <w:rsid w:val="006F414A"/>
    <w:rsid w:val="006F5D55"/>
    <w:rsid w:val="006F664C"/>
    <w:rsid w:val="006F6A85"/>
    <w:rsid w:val="006F7D61"/>
    <w:rsid w:val="00701DB5"/>
    <w:rsid w:val="00702E65"/>
    <w:rsid w:val="007032BE"/>
    <w:rsid w:val="00703656"/>
    <w:rsid w:val="00703917"/>
    <w:rsid w:val="00704DB7"/>
    <w:rsid w:val="00705DCB"/>
    <w:rsid w:val="0070621B"/>
    <w:rsid w:val="00706E3C"/>
    <w:rsid w:val="0070731F"/>
    <w:rsid w:val="00707663"/>
    <w:rsid w:val="00710CC5"/>
    <w:rsid w:val="0071209B"/>
    <w:rsid w:val="0071261D"/>
    <w:rsid w:val="00713470"/>
    <w:rsid w:val="00713B09"/>
    <w:rsid w:val="00713C9C"/>
    <w:rsid w:val="00713EE0"/>
    <w:rsid w:val="007141C5"/>
    <w:rsid w:val="0071708D"/>
    <w:rsid w:val="007172CE"/>
    <w:rsid w:val="00720856"/>
    <w:rsid w:val="00721AF9"/>
    <w:rsid w:val="00721FEE"/>
    <w:rsid w:val="00723040"/>
    <w:rsid w:val="0072375E"/>
    <w:rsid w:val="007238F4"/>
    <w:rsid w:val="00724689"/>
    <w:rsid w:val="007258D0"/>
    <w:rsid w:val="007270C1"/>
    <w:rsid w:val="00727214"/>
    <w:rsid w:val="00735613"/>
    <w:rsid w:val="007374FA"/>
    <w:rsid w:val="00740DEA"/>
    <w:rsid w:val="007423A4"/>
    <w:rsid w:val="0074519F"/>
    <w:rsid w:val="007459C2"/>
    <w:rsid w:val="00745BA5"/>
    <w:rsid w:val="0074620D"/>
    <w:rsid w:val="0074706E"/>
    <w:rsid w:val="0074712C"/>
    <w:rsid w:val="0075175F"/>
    <w:rsid w:val="007538EF"/>
    <w:rsid w:val="00753DD0"/>
    <w:rsid w:val="00754290"/>
    <w:rsid w:val="00755660"/>
    <w:rsid w:val="00757B77"/>
    <w:rsid w:val="0076114A"/>
    <w:rsid w:val="00762041"/>
    <w:rsid w:val="007627FE"/>
    <w:rsid w:val="007642B4"/>
    <w:rsid w:val="00766944"/>
    <w:rsid w:val="0077050D"/>
    <w:rsid w:val="007710FA"/>
    <w:rsid w:val="007728AA"/>
    <w:rsid w:val="00774322"/>
    <w:rsid w:val="0077450B"/>
    <w:rsid w:val="00775019"/>
    <w:rsid w:val="00780650"/>
    <w:rsid w:val="00780D03"/>
    <w:rsid w:val="00781101"/>
    <w:rsid w:val="0078384D"/>
    <w:rsid w:val="00784CEE"/>
    <w:rsid w:val="0078595E"/>
    <w:rsid w:val="0078697D"/>
    <w:rsid w:val="007869BC"/>
    <w:rsid w:val="007869ED"/>
    <w:rsid w:val="00787FB7"/>
    <w:rsid w:val="00790676"/>
    <w:rsid w:val="00791754"/>
    <w:rsid w:val="00792B9C"/>
    <w:rsid w:val="00793909"/>
    <w:rsid w:val="00793943"/>
    <w:rsid w:val="00794C4D"/>
    <w:rsid w:val="00795DBD"/>
    <w:rsid w:val="0079653F"/>
    <w:rsid w:val="0079655D"/>
    <w:rsid w:val="00796972"/>
    <w:rsid w:val="007975DB"/>
    <w:rsid w:val="00797CBE"/>
    <w:rsid w:val="00797E25"/>
    <w:rsid w:val="007A07CB"/>
    <w:rsid w:val="007A2299"/>
    <w:rsid w:val="007A28A6"/>
    <w:rsid w:val="007A2A7A"/>
    <w:rsid w:val="007A4DA5"/>
    <w:rsid w:val="007A690C"/>
    <w:rsid w:val="007A6AAD"/>
    <w:rsid w:val="007A76E2"/>
    <w:rsid w:val="007A7989"/>
    <w:rsid w:val="007B1F5E"/>
    <w:rsid w:val="007B2FFE"/>
    <w:rsid w:val="007B3227"/>
    <w:rsid w:val="007B3ACE"/>
    <w:rsid w:val="007B3BB4"/>
    <w:rsid w:val="007B5806"/>
    <w:rsid w:val="007B66C4"/>
    <w:rsid w:val="007B7F7F"/>
    <w:rsid w:val="007C123C"/>
    <w:rsid w:val="007C1680"/>
    <w:rsid w:val="007C2BDC"/>
    <w:rsid w:val="007C351F"/>
    <w:rsid w:val="007C404F"/>
    <w:rsid w:val="007C609E"/>
    <w:rsid w:val="007C7C22"/>
    <w:rsid w:val="007D056E"/>
    <w:rsid w:val="007D177B"/>
    <w:rsid w:val="007D280D"/>
    <w:rsid w:val="007D2F06"/>
    <w:rsid w:val="007D3528"/>
    <w:rsid w:val="007D4FE1"/>
    <w:rsid w:val="007D5111"/>
    <w:rsid w:val="007D5ED1"/>
    <w:rsid w:val="007E0164"/>
    <w:rsid w:val="007E3D1B"/>
    <w:rsid w:val="007E4326"/>
    <w:rsid w:val="007E4B5D"/>
    <w:rsid w:val="007E5F61"/>
    <w:rsid w:val="007E65AD"/>
    <w:rsid w:val="007F12D7"/>
    <w:rsid w:val="007F13D5"/>
    <w:rsid w:val="007F4535"/>
    <w:rsid w:val="007F4D28"/>
    <w:rsid w:val="007F4F61"/>
    <w:rsid w:val="007F54E3"/>
    <w:rsid w:val="007F738B"/>
    <w:rsid w:val="008028D8"/>
    <w:rsid w:val="00803547"/>
    <w:rsid w:val="0080374E"/>
    <w:rsid w:val="00804BBE"/>
    <w:rsid w:val="00805EBE"/>
    <w:rsid w:val="00806115"/>
    <w:rsid w:val="008114A1"/>
    <w:rsid w:val="00812756"/>
    <w:rsid w:val="00815164"/>
    <w:rsid w:val="00820553"/>
    <w:rsid w:val="00821534"/>
    <w:rsid w:val="008220CB"/>
    <w:rsid w:val="00822520"/>
    <w:rsid w:val="00824523"/>
    <w:rsid w:val="008250CC"/>
    <w:rsid w:val="00825367"/>
    <w:rsid w:val="0082557C"/>
    <w:rsid w:val="00825B02"/>
    <w:rsid w:val="00825D32"/>
    <w:rsid w:val="00826123"/>
    <w:rsid w:val="00826D69"/>
    <w:rsid w:val="00827100"/>
    <w:rsid w:val="00831814"/>
    <w:rsid w:val="00832046"/>
    <w:rsid w:val="0083510E"/>
    <w:rsid w:val="00835342"/>
    <w:rsid w:val="00835A64"/>
    <w:rsid w:val="00837EBE"/>
    <w:rsid w:val="00837EC0"/>
    <w:rsid w:val="00842414"/>
    <w:rsid w:val="00843103"/>
    <w:rsid w:val="008437F9"/>
    <w:rsid w:val="00846043"/>
    <w:rsid w:val="0084632D"/>
    <w:rsid w:val="00846AFE"/>
    <w:rsid w:val="00847849"/>
    <w:rsid w:val="00847DFA"/>
    <w:rsid w:val="008500F9"/>
    <w:rsid w:val="00853047"/>
    <w:rsid w:val="00853DF1"/>
    <w:rsid w:val="00855F54"/>
    <w:rsid w:val="008601C8"/>
    <w:rsid w:val="00860E35"/>
    <w:rsid w:val="00861771"/>
    <w:rsid w:val="00861FAD"/>
    <w:rsid w:val="00864D98"/>
    <w:rsid w:val="00865240"/>
    <w:rsid w:val="008657B4"/>
    <w:rsid w:val="00865B5A"/>
    <w:rsid w:val="008670E8"/>
    <w:rsid w:val="00874A57"/>
    <w:rsid w:val="0087552F"/>
    <w:rsid w:val="0087571F"/>
    <w:rsid w:val="00875A2D"/>
    <w:rsid w:val="008760BD"/>
    <w:rsid w:val="00876773"/>
    <w:rsid w:val="008773A2"/>
    <w:rsid w:val="008814DE"/>
    <w:rsid w:val="00881BCE"/>
    <w:rsid w:val="0088516D"/>
    <w:rsid w:val="00885829"/>
    <w:rsid w:val="0088601D"/>
    <w:rsid w:val="00886EA0"/>
    <w:rsid w:val="008871CE"/>
    <w:rsid w:val="0089367A"/>
    <w:rsid w:val="00893DEB"/>
    <w:rsid w:val="008948D5"/>
    <w:rsid w:val="008954EB"/>
    <w:rsid w:val="00895AED"/>
    <w:rsid w:val="00897A80"/>
    <w:rsid w:val="008A2D0B"/>
    <w:rsid w:val="008A6182"/>
    <w:rsid w:val="008A653B"/>
    <w:rsid w:val="008A67CC"/>
    <w:rsid w:val="008A7100"/>
    <w:rsid w:val="008B235C"/>
    <w:rsid w:val="008B2819"/>
    <w:rsid w:val="008B282F"/>
    <w:rsid w:val="008B2CD3"/>
    <w:rsid w:val="008B6C0B"/>
    <w:rsid w:val="008B71D8"/>
    <w:rsid w:val="008B7269"/>
    <w:rsid w:val="008C06EE"/>
    <w:rsid w:val="008C07B8"/>
    <w:rsid w:val="008C0B07"/>
    <w:rsid w:val="008C12B3"/>
    <w:rsid w:val="008C23DE"/>
    <w:rsid w:val="008D0D26"/>
    <w:rsid w:val="008D1888"/>
    <w:rsid w:val="008D1F1C"/>
    <w:rsid w:val="008D2173"/>
    <w:rsid w:val="008D2626"/>
    <w:rsid w:val="008D2A9B"/>
    <w:rsid w:val="008D508E"/>
    <w:rsid w:val="008D607A"/>
    <w:rsid w:val="008E0E6B"/>
    <w:rsid w:val="008E2621"/>
    <w:rsid w:val="008E32D3"/>
    <w:rsid w:val="008E34AE"/>
    <w:rsid w:val="008E36D3"/>
    <w:rsid w:val="008E63F2"/>
    <w:rsid w:val="008E72A9"/>
    <w:rsid w:val="008F0969"/>
    <w:rsid w:val="008F1359"/>
    <w:rsid w:val="008F2542"/>
    <w:rsid w:val="008F26F2"/>
    <w:rsid w:val="008F4E44"/>
    <w:rsid w:val="008F51F6"/>
    <w:rsid w:val="008F5769"/>
    <w:rsid w:val="008F57C1"/>
    <w:rsid w:val="008F7A2F"/>
    <w:rsid w:val="0090000D"/>
    <w:rsid w:val="009011B3"/>
    <w:rsid w:val="0090191C"/>
    <w:rsid w:val="00903662"/>
    <w:rsid w:val="00903A16"/>
    <w:rsid w:val="009040F2"/>
    <w:rsid w:val="00906129"/>
    <w:rsid w:val="00907FB7"/>
    <w:rsid w:val="00910FC9"/>
    <w:rsid w:val="009112FF"/>
    <w:rsid w:val="00911646"/>
    <w:rsid w:val="0091254D"/>
    <w:rsid w:val="00914567"/>
    <w:rsid w:val="00916014"/>
    <w:rsid w:val="00920DA8"/>
    <w:rsid w:val="009222EE"/>
    <w:rsid w:val="00922482"/>
    <w:rsid w:val="0092264F"/>
    <w:rsid w:val="00922F8F"/>
    <w:rsid w:val="00924430"/>
    <w:rsid w:val="00925390"/>
    <w:rsid w:val="00925D00"/>
    <w:rsid w:val="00930F53"/>
    <w:rsid w:val="009329BC"/>
    <w:rsid w:val="009347CE"/>
    <w:rsid w:val="00935EB8"/>
    <w:rsid w:val="009372E0"/>
    <w:rsid w:val="00937888"/>
    <w:rsid w:val="00943187"/>
    <w:rsid w:val="0094441B"/>
    <w:rsid w:val="00945AAD"/>
    <w:rsid w:val="00947F2B"/>
    <w:rsid w:val="00950431"/>
    <w:rsid w:val="00951BA6"/>
    <w:rsid w:val="00952777"/>
    <w:rsid w:val="00954AD8"/>
    <w:rsid w:val="00954EFE"/>
    <w:rsid w:val="0095536B"/>
    <w:rsid w:val="00955421"/>
    <w:rsid w:val="0095566A"/>
    <w:rsid w:val="00957A05"/>
    <w:rsid w:val="00960628"/>
    <w:rsid w:val="00960A9C"/>
    <w:rsid w:val="00961944"/>
    <w:rsid w:val="00961BD1"/>
    <w:rsid w:val="00961F77"/>
    <w:rsid w:val="00963535"/>
    <w:rsid w:val="00965F9C"/>
    <w:rsid w:val="00966AC0"/>
    <w:rsid w:val="0097000B"/>
    <w:rsid w:val="0097052A"/>
    <w:rsid w:val="009720DE"/>
    <w:rsid w:val="00972E50"/>
    <w:rsid w:val="00973017"/>
    <w:rsid w:val="00974009"/>
    <w:rsid w:val="009748FB"/>
    <w:rsid w:val="00975198"/>
    <w:rsid w:val="00976280"/>
    <w:rsid w:val="009771AB"/>
    <w:rsid w:val="00977919"/>
    <w:rsid w:val="009817EB"/>
    <w:rsid w:val="00983DC5"/>
    <w:rsid w:val="00984038"/>
    <w:rsid w:val="0098619E"/>
    <w:rsid w:val="009870C2"/>
    <w:rsid w:val="009909A0"/>
    <w:rsid w:val="009911C7"/>
    <w:rsid w:val="00991CCC"/>
    <w:rsid w:val="009924D3"/>
    <w:rsid w:val="009929CB"/>
    <w:rsid w:val="00994018"/>
    <w:rsid w:val="0099592C"/>
    <w:rsid w:val="009A0F35"/>
    <w:rsid w:val="009A2A92"/>
    <w:rsid w:val="009A3F3A"/>
    <w:rsid w:val="009A6085"/>
    <w:rsid w:val="009A6661"/>
    <w:rsid w:val="009A7373"/>
    <w:rsid w:val="009B0755"/>
    <w:rsid w:val="009B0770"/>
    <w:rsid w:val="009B16A7"/>
    <w:rsid w:val="009B614B"/>
    <w:rsid w:val="009B723A"/>
    <w:rsid w:val="009C0242"/>
    <w:rsid w:val="009C093F"/>
    <w:rsid w:val="009C14D7"/>
    <w:rsid w:val="009C195A"/>
    <w:rsid w:val="009C4BCA"/>
    <w:rsid w:val="009C4BF8"/>
    <w:rsid w:val="009C5425"/>
    <w:rsid w:val="009C7CEF"/>
    <w:rsid w:val="009C7FF3"/>
    <w:rsid w:val="009D124A"/>
    <w:rsid w:val="009D1479"/>
    <w:rsid w:val="009D1634"/>
    <w:rsid w:val="009D17DC"/>
    <w:rsid w:val="009D3152"/>
    <w:rsid w:val="009D32E2"/>
    <w:rsid w:val="009D3CE6"/>
    <w:rsid w:val="009D63CD"/>
    <w:rsid w:val="009D7BF0"/>
    <w:rsid w:val="009E058D"/>
    <w:rsid w:val="009E0839"/>
    <w:rsid w:val="009E0C79"/>
    <w:rsid w:val="009E279E"/>
    <w:rsid w:val="009E285E"/>
    <w:rsid w:val="009E365F"/>
    <w:rsid w:val="009E4A22"/>
    <w:rsid w:val="009E50F6"/>
    <w:rsid w:val="009F0A88"/>
    <w:rsid w:val="009F30A3"/>
    <w:rsid w:val="009F31B3"/>
    <w:rsid w:val="009F6076"/>
    <w:rsid w:val="009F781E"/>
    <w:rsid w:val="009F7CF9"/>
    <w:rsid w:val="009F7D65"/>
    <w:rsid w:val="00A0129B"/>
    <w:rsid w:val="00A01EE8"/>
    <w:rsid w:val="00A03460"/>
    <w:rsid w:val="00A03E2B"/>
    <w:rsid w:val="00A049D4"/>
    <w:rsid w:val="00A04BA9"/>
    <w:rsid w:val="00A04FE3"/>
    <w:rsid w:val="00A05E47"/>
    <w:rsid w:val="00A06149"/>
    <w:rsid w:val="00A064A1"/>
    <w:rsid w:val="00A06A00"/>
    <w:rsid w:val="00A10790"/>
    <w:rsid w:val="00A1145C"/>
    <w:rsid w:val="00A134CD"/>
    <w:rsid w:val="00A143C9"/>
    <w:rsid w:val="00A14CA0"/>
    <w:rsid w:val="00A14F40"/>
    <w:rsid w:val="00A177A9"/>
    <w:rsid w:val="00A1794C"/>
    <w:rsid w:val="00A20E0B"/>
    <w:rsid w:val="00A21024"/>
    <w:rsid w:val="00A221B2"/>
    <w:rsid w:val="00A22230"/>
    <w:rsid w:val="00A2357B"/>
    <w:rsid w:val="00A23A36"/>
    <w:rsid w:val="00A24B6C"/>
    <w:rsid w:val="00A251AD"/>
    <w:rsid w:val="00A253A9"/>
    <w:rsid w:val="00A26036"/>
    <w:rsid w:val="00A27469"/>
    <w:rsid w:val="00A27D18"/>
    <w:rsid w:val="00A30010"/>
    <w:rsid w:val="00A30427"/>
    <w:rsid w:val="00A3268B"/>
    <w:rsid w:val="00A32C7B"/>
    <w:rsid w:val="00A333C9"/>
    <w:rsid w:val="00A336D3"/>
    <w:rsid w:val="00A3372F"/>
    <w:rsid w:val="00A34EA1"/>
    <w:rsid w:val="00A350E5"/>
    <w:rsid w:val="00A405F8"/>
    <w:rsid w:val="00A41426"/>
    <w:rsid w:val="00A41C7C"/>
    <w:rsid w:val="00A4359C"/>
    <w:rsid w:val="00A43DB8"/>
    <w:rsid w:val="00A45A5F"/>
    <w:rsid w:val="00A45EE0"/>
    <w:rsid w:val="00A472E0"/>
    <w:rsid w:val="00A51BCA"/>
    <w:rsid w:val="00A53238"/>
    <w:rsid w:val="00A53741"/>
    <w:rsid w:val="00A5443B"/>
    <w:rsid w:val="00A54697"/>
    <w:rsid w:val="00A554D5"/>
    <w:rsid w:val="00A56008"/>
    <w:rsid w:val="00A6108A"/>
    <w:rsid w:val="00A61E76"/>
    <w:rsid w:val="00A61F16"/>
    <w:rsid w:val="00A620EF"/>
    <w:rsid w:val="00A62337"/>
    <w:rsid w:val="00A63B46"/>
    <w:rsid w:val="00A64155"/>
    <w:rsid w:val="00A65788"/>
    <w:rsid w:val="00A66BC5"/>
    <w:rsid w:val="00A67400"/>
    <w:rsid w:val="00A67F9B"/>
    <w:rsid w:val="00A71416"/>
    <w:rsid w:val="00A71EF2"/>
    <w:rsid w:val="00A72E22"/>
    <w:rsid w:val="00A73A6A"/>
    <w:rsid w:val="00A76FC0"/>
    <w:rsid w:val="00A77606"/>
    <w:rsid w:val="00A77CBB"/>
    <w:rsid w:val="00A813B4"/>
    <w:rsid w:val="00A82439"/>
    <w:rsid w:val="00A83A6E"/>
    <w:rsid w:val="00A847C8"/>
    <w:rsid w:val="00A8587B"/>
    <w:rsid w:val="00A85B5E"/>
    <w:rsid w:val="00A85D41"/>
    <w:rsid w:val="00A8661E"/>
    <w:rsid w:val="00A90597"/>
    <w:rsid w:val="00A90C15"/>
    <w:rsid w:val="00A92E9E"/>
    <w:rsid w:val="00A938A8"/>
    <w:rsid w:val="00A940BA"/>
    <w:rsid w:val="00A9577F"/>
    <w:rsid w:val="00A96953"/>
    <w:rsid w:val="00A974E6"/>
    <w:rsid w:val="00A97652"/>
    <w:rsid w:val="00AA1EF8"/>
    <w:rsid w:val="00AA2FFA"/>
    <w:rsid w:val="00AA3E73"/>
    <w:rsid w:val="00AA6192"/>
    <w:rsid w:val="00AA653D"/>
    <w:rsid w:val="00AA70C8"/>
    <w:rsid w:val="00AB0636"/>
    <w:rsid w:val="00AB06B5"/>
    <w:rsid w:val="00AB2740"/>
    <w:rsid w:val="00AB2947"/>
    <w:rsid w:val="00AB2C63"/>
    <w:rsid w:val="00AB3AB0"/>
    <w:rsid w:val="00AB4574"/>
    <w:rsid w:val="00AB52E3"/>
    <w:rsid w:val="00AB57D5"/>
    <w:rsid w:val="00AC035B"/>
    <w:rsid w:val="00AC16A6"/>
    <w:rsid w:val="00AC46CC"/>
    <w:rsid w:val="00AC4D68"/>
    <w:rsid w:val="00AC6278"/>
    <w:rsid w:val="00AC6D7D"/>
    <w:rsid w:val="00AC7BF5"/>
    <w:rsid w:val="00AD09B6"/>
    <w:rsid w:val="00AD0A85"/>
    <w:rsid w:val="00AD1413"/>
    <w:rsid w:val="00AD3455"/>
    <w:rsid w:val="00AD3495"/>
    <w:rsid w:val="00AD40AE"/>
    <w:rsid w:val="00AD5201"/>
    <w:rsid w:val="00AD6629"/>
    <w:rsid w:val="00AE11EB"/>
    <w:rsid w:val="00AE4772"/>
    <w:rsid w:val="00AE5543"/>
    <w:rsid w:val="00AE57F6"/>
    <w:rsid w:val="00AE7095"/>
    <w:rsid w:val="00AE7EB7"/>
    <w:rsid w:val="00AE7FF7"/>
    <w:rsid w:val="00AF011D"/>
    <w:rsid w:val="00AF0915"/>
    <w:rsid w:val="00AF11BE"/>
    <w:rsid w:val="00AF1F35"/>
    <w:rsid w:val="00AF2DC1"/>
    <w:rsid w:val="00AF373F"/>
    <w:rsid w:val="00AF443A"/>
    <w:rsid w:val="00AF58B7"/>
    <w:rsid w:val="00AF6FFD"/>
    <w:rsid w:val="00AF7CE2"/>
    <w:rsid w:val="00B00805"/>
    <w:rsid w:val="00B01075"/>
    <w:rsid w:val="00B01DCC"/>
    <w:rsid w:val="00B03201"/>
    <w:rsid w:val="00B04371"/>
    <w:rsid w:val="00B0618F"/>
    <w:rsid w:val="00B0643A"/>
    <w:rsid w:val="00B12824"/>
    <w:rsid w:val="00B153A3"/>
    <w:rsid w:val="00B168DE"/>
    <w:rsid w:val="00B17294"/>
    <w:rsid w:val="00B177D2"/>
    <w:rsid w:val="00B244E3"/>
    <w:rsid w:val="00B24E95"/>
    <w:rsid w:val="00B24E96"/>
    <w:rsid w:val="00B26800"/>
    <w:rsid w:val="00B27124"/>
    <w:rsid w:val="00B27841"/>
    <w:rsid w:val="00B30453"/>
    <w:rsid w:val="00B3065F"/>
    <w:rsid w:val="00B30D9B"/>
    <w:rsid w:val="00B314B6"/>
    <w:rsid w:val="00B31AFA"/>
    <w:rsid w:val="00B32F5B"/>
    <w:rsid w:val="00B32F86"/>
    <w:rsid w:val="00B344D5"/>
    <w:rsid w:val="00B34990"/>
    <w:rsid w:val="00B34F7D"/>
    <w:rsid w:val="00B36FCE"/>
    <w:rsid w:val="00B4031E"/>
    <w:rsid w:val="00B40FD8"/>
    <w:rsid w:val="00B4148F"/>
    <w:rsid w:val="00B41631"/>
    <w:rsid w:val="00B42FF0"/>
    <w:rsid w:val="00B450F6"/>
    <w:rsid w:val="00B45D9D"/>
    <w:rsid w:val="00B46754"/>
    <w:rsid w:val="00B46F1C"/>
    <w:rsid w:val="00B47241"/>
    <w:rsid w:val="00B47BFD"/>
    <w:rsid w:val="00B51BBC"/>
    <w:rsid w:val="00B521BA"/>
    <w:rsid w:val="00B539C4"/>
    <w:rsid w:val="00B54B0A"/>
    <w:rsid w:val="00B571D4"/>
    <w:rsid w:val="00B573A2"/>
    <w:rsid w:val="00B57F88"/>
    <w:rsid w:val="00B61EC8"/>
    <w:rsid w:val="00B63290"/>
    <w:rsid w:val="00B633AF"/>
    <w:rsid w:val="00B66C70"/>
    <w:rsid w:val="00B67774"/>
    <w:rsid w:val="00B67932"/>
    <w:rsid w:val="00B70D7F"/>
    <w:rsid w:val="00B7163F"/>
    <w:rsid w:val="00B71D32"/>
    <w:rsid w:val="00B72C0F"/>
    <w:rsid w:val="00B73D7A"/>
    <w:rsid w:val="00B7474D"/>
    <w:rsid w:val="00B74E3A"/>
    <w:rsid w:val="00B750AD"/>
    <w:rsid w:val="00B75498"/>
    <w:rsid w:val="00B80A99"/>
    <w:rsid w:val="00B819C8"/>
    <w:rsid w:val="00B823F4"/>
    <w:rsid w:val="00B84DE6"/>
    <w:rsid w:val="00B85A34"/>
    <w:rsid w:val="00B90377"/>
    <w:rsid w:val="00B90BD2"/>
    <w:rsid w:val="00B91D0F"/>
    <w:rsid w:val="00B91F9C"/>
    <w:rsid w:val="00B9284F"/>
    <w:rsid w:val="00B9573E"/>
    <w:rsid w:val="00B95F3D"/>
    <w:rsid w:val="00B96532"/>
    <w:rsid w:val="00B9711D"/>
    <w:rsid w:val="00B97F47"/>
    <w:rsid w:val="00BA0551"/>
    <w:rsid w:val="00BA1BE3"/>
    <w:rsid w:val="00BA1EA2"/>
    <w:rsid w:val="00BA2371"/>
    <w:rsid w:val="00BA28EC"/>
    <w:rsid w:val="00BA2ACA"/>
    <w:rsid w:val="00BA2CA9"/>
    <w:rsid w:val="00BA3CF2"/>
    <w:rsid w:val="00BA427A"/>
    <w:rsid w:val="00BA532D"/>
    <w:rsid w:val="00BA5E59"/>
    <w:rsid w:val="00BA788E"/>
    <w:rsid w:val="00BA7DE2"/>
    <w:rsid w:val="00BB154C"/>
    <w:rsid w:val="00BB3D6D"/>
    <w:rsid w:val="00BB4115"/>
    <w:rsid w:val="00BB479B"/>
    <w:rsid w:val="00BB546B"/>
    <w:rsid w:val="00BB60A4"/>
    <w:rsid w:val="00BB644A"/>
    <w:rsid w:val="00BB7495"/>
    <w:rsid w:val="00BB757E"/>
    <w:rsid w:val="00BB7F07"/>
    <w:rsid w:val="00BC2042"/>
    <w:rsid w:val="00BC2984"/>
    <w:rsid w:val="00BC2EBF"/>
    <w:rsid w:val="00BC32EB"/>
    <w:rsid w:val="00BC5596"/>
    <w:rsid w:val="00BC5876"/>
    <w:rsid w:val="00BC658E"/>
    <w:rsid w:val="00BC7C03"/>
    <w:rsid w:val="00BC7DDA"/>
    <w:rsid w:val="00BD20BD"/>
    <w:rsid w:val="00BD2467"/>
    <w:rsid w:val="00BD3A23"/>
    <w:rsid w:val="00BD5720"/>
    <w:rsid w:val="00BD5C08"/>
    <w:rsid w:val="00BD6A15"/>
    <w:rsid w:val="00BD7814"/>
    <w:rsid w:val="00BE5A2C"/>
    <w:rsid w:val="00BF040A"/>
    <w:rsid w:val="00BF0712"/>
    <w:rsid w:val="00BF18F2"/>
    <w:rsid w:val="00BF24AE"/>
    <w:rsid w:val="00BF3EA8"/>
    <w:rsid w:val="00BF4B5E"/>
    <w:rsid w:val="00BF532C"/>
    <w:rsid w:val="00BF566D"/>
    <w:rsid w:val="00BF5A57"/>
    <w:rsid w:val="00BF6032"/>
    <w:rsid w:val="00BF6CD9"/>
    <w:rsid w:val="00BF721D"/>
    <w:rsid w:val="00BF7A6A"/>
    <w:rsid w:val="00C0004F"/>
    <w:rsid w:val="00C002CD"/>
    <w:rsid w:val="00C0196A"/>
    <w:rsid w:val="00C02856"/>
    <w:rsid w:val="00C02C63"/>
    <w:rsid w:val="00C0359D"/>
    <w:rsid w:val="00C035CA"/>
    <w:rsid w:val="00C05826"/>
    <w:rsid w:val="00C06546"/>
    <w:rsid w:val="00C06676"/>
    <w:rsid w:val="00C10317"/>
    <w:rsid w:val="00C1228D"/>
    <w:rsid w:val="00C13924"/>
    <w:rsid w:val="00C15F8F"/>
    <w:rsid w:val="00C16C39"/>
    <w:rsid w:val="00C20923"/>
    <w:rsid w:val="00C218A7"/>
    <w:rsid w:val="00C22F2D"/>
    <w:rsid w:val="00C25F79"/>
    <w:rsid w:val="00C26EBA"/>
    <w:rsid w:val="00C2737A"/>
    <w:rsid w:val="00C307A5"/>
    <w:rsid w:val="00C3083B"/>
    <w:rsid w:val="00C30AE9"/>
    <w:rsid w:val="00C31EB1"/>
    <w:rsid w:val="00C32985"/>
    <w:rsid w:val="00C345C4"/>
    <w:rsid w:val="00C351EF"/>
    <w:rsid w:val="00C374A1"/>
    <w:rsid w:val="00C400AE"/>
    <w:rsid w:val="00C415F7"/>
    <w:rsid w:val="00C41814"/>
    <w:rsid w:val="00C42059"/>
    <w:rsid w:val="00C42807"/>
    <w:rsid w:val="00C42F01"/>
    <w:rsid w:val="00C432E3"/>
    <w:rsid w:val="00C43485"/>
    <w:rsid w:val="00C45B83"/>
    <w:rsid w:val="00C45E18"/>
    <w:rsid w:val="00C462A0"/>
    <w:rsid w:val="00C467F3"/>
    <w:rsid w:val="00C5181B"/>
    <w:rsid w:val="00C52EB2"/>
    <w:rsid w:val="00C530B9"/>
    <w:rsid w:val="00C5478F"/>
    <w:rsid w:val="00C57028"/>
    <w:rsid w:val="00C577D2"/>
    <w:rsid w:val="00C60397"/>
    <w:rsid w:val="00C6050D"/>
    <w:rsid w:val="00C60595"/>
    <w:rsid w:val="00C610C1"/>
    <w:rsid w:val="00C61E8F"/>
    <w:rsid w:val="00C64337"/>
    <w:rsid w:val="00C64AF0"/>
    <w:rsid w:val="00C64E52"/>
    <w:rsid w:val="00C66095"/>
    <w:rsid w:val="00C6665A"/>
    <w:rsid w:val="00C66E59"/>
    <w:rsid w:val="00C67E19"/>
    <w:rsid w:val="00C70115"/>
    <w:rsid w:val="00C7062E"/>
    <w:rsid w:val="00C71C80"/>
    <w:rsid w:val="00C71F56"/>
    <w:rsid w:val="00C721A4"/>
    <w:rsid w:val="00C72565"/>
    <w:rsid w:val="00C73B30"/>
    <w:rsid w:val="00C73BCC"/>
    <w:rsid w:val="00C75CA0"/>
    <w:rsid w:val="00C8083E"/>
    <w:rsid w:val="00C81206"/>
    <w:rsid w:val="00C82987"/>
    <w:rsid w:val="00C82B7B"/>
    <w:rsid w:val="00C82C25"/>
    <w:rsid w:val="00C85389"/>
    <w:rsid w:val="00C85816"/>
    <w:rsid w:val="00C86811"/>
    <w:rsid w:val="00C90886"/>
    <w:rsid w:val="00C911F1"/>
    <w:rsid w:val="00C91976"/>
    <w:rsid w:val="00C91FB7"/>
    <w:rsid w:val="00C9406C"/>
    <w:rsid w:val="00C95B97"/>
    <w:rsid w:val="00C95CD4"/>
    <w:rsid w:val="00C97BBB"/>
    <w:rsid w:val="00CA182E"/>
    <w:rsid w:val="00CA1875"/>
    <w:rsid w:val="00CA2A4A"/>
    <w:rsid w:val="00CA2F82"/>
    <w:rsid w:val="00CA318E"/>
    <w:rsid w:val="00CA3244"/>
    <w:rsid w:val="00CA3362"/>
    <w:rsid w:val="00CB0687"/>
    <w:rsid w:val="00CB24B5"/>
    <w:rsid w:val="00CB2723"/>
    <w:rsid w:val="00CB5DDA"/>
    <w:rsid w:val="00CB6FFD"/>
    <w:rsid w:val="00CB794A"/>
    <w:rsid w:val="00CC1E88"/>
    <w:rsid w:val="00CC297B"/>
    <w:rsid w:val="00CC2DCF"/>
    <w:rsid w:val="00CC5FDB"/>
    <w:rsid w:val="00CC7207"/>
    <w:rsid w:val="00CC774A"/>
    <w:rsid w:val="00CC7EA8"/>
    <w:rsid w:val="00CD0E0D"/>
    <w:rsid w:val="00CD10DF"/>
    <w:rsid w:val="00CD25D6"/>
    <w:rsid w:val="00CD5FD3"/>
    <w:rsid w:val="00CD65DF"/>
    <w:rsid w:val="00CD68A8"/>
    <w:rsid w:val="00CD6C22"/>
    <w:rsid w:val="00CD6EA2"/>
    <w:rsid w:val="00CE0505"/>
    <w:rsid w:val="00CE0A72"/>
    <w:rsid w:val="00CE212D"/>
    <w:rsid w:val="00CE2DFD"/>
    <w:rsid w:val="00CE57FC"/>
    <w:rsid w:val="00CE7B53"/>
    <w:rsid w:val="00CF041A"/>
    <w:rsid w:val="00CF2ED6"/>
    <w:rsid w:val="00CF383C"/>
    <w:rsid w:val="00CF3A6B"/>
    <w:rsid w:val="00CF46A5"/>
    <w:rsid w:val="00CF5F3A"/>
    <w:rsid w:val="00CF7FF6"/>
    <w:rsid w:val="00D00B96"/>
    <w:rsid w:val="00D01193"/>
    <w:rsid w:val="00D012CE"/>
    <w:rsid w:val="00D02615"/>
    <w:rsid w:val="00D05419"/>
    <w:rsid w:val="00D05887"/>
    <w:rsid w:val="00D063D4"/>
    <w:rsid w:val="00D06562"/>
    <w:rsid w:val="00D06691"/>
    <w:rsid w:val="00D069D7"/>
    <w:rsid w:val="00D06FE0"/>
    <w:rsid w:val="00D10FAD"/>
    <w:rsid w:val="00D114C6"/>
    <w:rsid w:val="00D135BD"/>
    <w:rsid w:val="00D14F3E"/>
    <w:rsid w:val="00D171B3"/>
    <w:rsid w:val="00D17394"/>
    <w:rsid w:val="00D17897"/>
    <w:rsid w:val="00D20EA6"/>
    <w:rsid w:val="00D22503"/>
    <w:rsid w:val="00D23B09"/>
    <w:rsid w:val="00D25D76"/>
    <w:rsid w:val="00D30782"/>
    <w:rsid w:val="00D3214D"/>
    <w:rsid w:val="00D3280E"/>
    <w:rsid w:val="00D34207"/>
    <w:rsid w:val="00D34268"/>
    <w:rsid w:val="00D34E45"/>
    <w:rsid w:val="00D3588C"/>
    <w:rsid w:val="00D36D15"/>
    <w:rsid w:val="00D36DDE"/>
    <w:rsid w:val="00D3757D"/>
    <w:rsid w:val="00D37BDC"/>
    <w:rsid w:val="00D401E0"/>
    <w:rsid w:val="00D41713"/>
    <w:rsid w:val="00D41F0A"/>
    <w:rsid w:val="00D41F29"/>
    <w:rsid w:val="00D42ACB"/>
    <w:rsid w:val="00D43F9A"/>
    <w:rsid w:val="00D4418B"/>
    <w:rsid w:val="00D447C5"/>
    <w:rsid w:val="00D4503B"/>
    <w:rsid w:val="00D455CF"/>
    <w:rsid w:val="00D4787A"/>
    <w:rsid w:val="00D47D4B"/>
    <w:rsid w:val="00D5040C"/>
    <w:rsid w:val="00D505E8"/>
    <w:rsid w:val="00D50C0A"/>
    <w:rsid w:val="00D5150A"/>
    <w:rsid w:val="00D5388F"/>
    <w:rsid w:val="00D54B4B"/>
    <w:rsid w:val="00D54E0A"/>
    <w:rsid w:val="00D55145"/>
    <w:rsid w:val="00D613C7"/>
    <w:rsid w:val="00D614E7"/>
    <w:rsid w:val="00D623C9"/>
    <w:rsid w:val="00D62688"/>
    <w:rsid w:val="00D63B68"/>
    <w:rsid w:val="00D645B6"/>
    <w:rsid w:val="00D66999"/>
    <w:rsid w:val="00D7090E"/>
    <w:rsid w:val="00D70B58"/>
    <w:rsid w:val="00D71598"/>
    <w:rsid w:val="00D72A09"/>
    <w:rsid w:val="00D73AFB"/>
    <w:rsid w:val="00D7510E"/>
    <w:rsid w:val="00D75535"/>
    <w:rsid w:val="00D75F14"/>
    <w:rsid w:val="00D77967"/>
    <w:rsid w:val="00D80793"/>
    <w:rsid w:val="00D8437A"/>
    <w:rsid w:val="00D849BC"/>
    <w:rsid w:val="00D86B65"/>
    <w:rsid w:val="00D87E0C"/>
    <w:rsid w:val="00D90C58"/>
    <w:rsid w:val="00D9368B"/>
    <w:rsid w:val="00D940FF"/>
    <w:rsid w:val="00D95840"/>
    <w:rsid w:val="00D96E8E"/>
    <w:rsid w:val="00D9705A"/>
    <w:rsid w:val="00D9763B"/>
    <w:rsid w:val="00D97E4E"/>
    <w:rsid w:val="00DA0E06"/>
    <w:rsid w:val="00DA0F99"/>
    <w:rsid w:val="00DA10F2"/>
    <w:rsid w:val="00DA1FD8"/>
    <w:rsid w:val="00DA688E"/>
    <w:rsid w:val="00DA69DF"/>
    <w:rsid w:val="00DB1956"/>
    <w:rsid w:val="00DB2696"/>
    <w:rsid w:val="00DB358C"/>
    <w:rsid w:val="00DB3A04"/>
    <w:rsid w:val="00DB4E5D"/>
    <w:rsid w:val="00DB597E"/>
    <w:rsid w:val="00DB61E4"/>
    <w:rsid w:val="00DB62F9"/>
    <w:rsid w:val="00DB738A"/>
    <w:rsid w:val="00DC0A2B"/>
    <w:rsid w:val="00DC12B5"/>
    <w:rsid w:val="00DC1CC8"/>
    <w:rsid w:val="00DC37FD"/>
    <w:rsid w:val="00DC3C18"/>
    <w:rsid w:val="00DC42A3"/>
    <w:rsid w:val="00DC7010"/>
    <w:rsid w:val="00DD1283"/>
    <w:rsid w:val="00DD15F0"/>
    <w:rsid w:val="00DD32B5"/>
    <w:rsid w:val="00DD3A7C"/>
    <w:rsid w:val="00DD5EC1"/>
    <w:rsid w:val="00DD5F59"/>
    <w:rsid w:val="00DD731D"/>
    <w:rsid w:val="00DD7D0B"/>
    <w:rsid w:val="00DD7D94"/>
    <w:rsid w:val="00DE0596"/>
    <w:rsid w:val="00DE0BA3"/>
    <w:rsid w:val="00DE30D9"/>
    <w:rsid w:val="00DE4A59"/>
    <w:rsid w:val="00DE5A57"/>
    <w:rsid w:val="00DE5DF8"/>
    <w:rsid w:val="00DE6372"/>
    <w:rsid w:val="00DE66AB"/>
    <w:rsid w:val="00DE7656"/>
    <w:rsid w:val="00DE7E18"/>
    <w:rsid w:val="00DF0A49"/>
    <w:rsid w:val="00DF4219"/>
    <w:rsid w:val="00DF4223"/>
    <w:rsid w:val="00DF6490"/>
    <w:rsid w:val="00DF65FC"/>
    <w:rsid w:val="00DF6FA8"/>
    <w:rsid w:val="00DF7BFB"/>
    <w:rsid w:val="00E0222C"/>
    <w:rsid w:val="00E02B50"/>
    <w:rsid w:val="00E0416F"/>
    <w:rsid w:val="00E0429D"/>
    <w:rsid w:val="00E04D84"/>
    <w:rsid w:val="00E055CC"/>
    <w:rsid w:val="00E07317"/>
    <w:rsid w:val="00E075EA"/>
    <w:rsid w:val="00E07F27"/>
    <w:rsid w:val="00E1064D"/>
    <w:rsid w:val="00E115AE"/>
    <w:rsid w:val="00E125D1"/>
    <w:rsid w:val="00E12C43"/>
    <w:rsid w:val="00E1465B"/>
    <w:rsid w:val="00E157D1"/>
    <w:rsid w:val="00E16016"/>
    <w:rsid w:val="00E1685B"/>
    <w:rsid w:val="00E173FD"/>
    <w:rsid w:val="00E20E80"/>
    <w:rsid w:val="00E2202F"/>
    <w:rsid w:val="00E26F70"/>
    <w:rsid w:val="00E301BA"/>
    <w:rsid w:val="00E30AE9"/>
    <w:rsid w:val="00E31391"/>
    <w:rsid w:val="00E325DD"/>
    <w:rsid w:val="00E32909"/>
    <w:rsid w:val="00E32A0A"/>
    <w:rsid w:val="00E32F79"/>
    <w:rsid w:val="00E3359C"/>
    <w:rsid w:val="00E335C8"/>
    <w:rsid w:val="00E349AC"/>
    <w:rsid w:val="00E35E27"/>
    <w:rsid w:val="00E36272"/>
    <w:rsid w:val="00E36C0E"/>
    <w:rsid w:val="00E36F46"/>
    <w:rsid w:val="00E3766B"/>
    <w:rsid w:val="00E41130"/>
    <w:rsid w:val="00E414D2"/>
    <w:rsid w:val="00E441C9"/>
    <w:rsid w:val="00E446D7"/>
    <w:rsid w:val="00E46AEE"/>
    <w:rsid w:val="00E46F75"/>
    <w:rsid w:val="00E47399"/>
    <w:rsid w:val="00E54264"/>
    <w:rsid w:val="00E5557C"/>
    <w:rsid w:val="00E55690"/>
    <w:rsid w:val="00E5574F"/>
    <w:rsid w:val="00E55B6B"/>
    <w:rsid w:val="00E56CF6"/>
    <w:rsid w:val="00E570E4"/>
    <w:rsid w:val="00E60296"/>
    <w:rsid w:val="00E606FE"/>
    <w:rsid w:val="00E60D9C"/>
    <w:rsid w:val="00E6539E"/>
    <w:rsid w:val="00E666A5"/>
    <w:rsid w:val="00E67492"/>
    <w:rsid w:val="00E67E70"/>
    <w:rsid w:val="00E67F13"/>
    <w:rsid w:val="00E70385"/>
    <w:rsid w:val="00E70BFA"/>
    <w:rsid w:val="00E70F1C"/>
    <w:rsid w:val="00E735D4"/>
    <w:rsid w:val="00E73957"/>
    <w:rsid w:val="00E747D9"/>
    <w:rsid w:val="00E748A1"/>
    <w:rsid w:val="00E75176"/>
    <w:rsid w:val="00E75A8D"/>
    <w:rsid w:val="00E76D43"/>
    <w:rsid w:val="00E77060"/>
    <w:rsid w:val="00E83EDC"/>
    <w:rsid w:val="00E84118"/>
    <w:rsid w:val="00E84B99"/>
    <w:rsid w:val="00E84BB2"/>
    <w:rsid w:val="00E84C88"/>
    <w:rsid w:val="00E85D28"/>
    <w:rsid w:val="00E908B9"/>
    <w:rsid w:val="00E90B2D"/>
    <w:rsid w:val="00E9177A"/>
    <w:rsid w:val="00E91BD8"/>
    <w:rsid w:val="00E921A3"/>
    <w:rsid w:val="00E9309F"/>
    <w:rsid w:val="00E9310D"/>
    <w:rsid w:val="00E941FD"/>
    <w:rsid w:val="00E94EFE"/>
    <w:rsid w:val="00E9569C"/>
    <w:rsid w:val="00E97175"/>
    <w:rsid w:val="00E978FB"/>
    <w:rsid w:val="00E97C1E"/>
    <w:rsid w:val="00E97C6B"/>
    <w:rsid w:val="00EA0133"/>
    <w:rsid w:val="00EA04AA"/>
    <w:rsid w:val="00EA3342"/>
    <w:rsid w:val="00EA419F"/>
    <w:rsid w:val="00EA4D0A"/>
    <w:rsid w:val="00EA591E"/>
    <w:rsid w:val="00EA5A2A"/>
    <w:rsid w:val="00EA7339"/>
    <w:rsid w:val="00EA7AE9"/>
    <w:rsid w:val="00EB2AE4"/>
    <w:rsid w:val="00EB4AF3"/>
    <w:rsid w:val="00EB5308"/>
    <w:rsid w:val="00EB62E5"/>
    <w:rsid w:val="00EB68D4"/>
    <w:rsid w:val="00EB71D1"/>
    <w:rsid w:val="00EC016D"/>
    <w:rsid w:val="00EC256B"/>
    <w:rsid w:val="00EC66C3"/>
    <w:rsid w:val="00EC7D9D"/>
    <w:rsid w:val="00ED002F"/>
    <w:rsid w:val="00ED0DC2"/>
    <w:rsid w:val="00ED2063"/>
    <w:rsid w:val="00ED2861"/>
    <w:rsid w:val="00ED2D00"/>
    <w:rsid w:val="00ED2D24"/>
    <w:rsid w:val="00ED2E8B"/>
    <w:rsid w:val="00ED4CEA"/>
    <w:rsid w:val="00ED5A18"/>
    <w:rsid w:val="00ED5B13"/>
    <w:rsid w:val="00ED5B82"/>
    <w:rsid w:val="00ED5C30"/>
    <w:rsid w:val="00ED669E"/>
    <w:rsid w:val="00ED6967"/>
    <w:rsid w:val="00ED73ED"/>
    <w:rsid w:val="00ED752B"/>
    <w:rsid w:val="00ED7B74"/>
    <w:rsid w:val="00EE0631"/>
    <w:rsid w:val="00EE20E3"/>
    <w:rsid w:val="00EE367A"/>
    <w:rsid w:val="00EE3893"/>
    <w:rsid w:val="00EE3C00"/>
    <w:rsid w:val="00EE53B3"/>
    <w:rsid w:val="00EE57BB"/>
    <w:rsid w:val="00EE5F5C"/>
    <w:rsid w:val="00EE736A"/>
    <w:rsid w:val="00EF14D5"/>
    <w:rsid w:val="00EF40B2"/>
    <w:rsid w:val="00EF521C"/>
    <w:rsid w:val="00EF53F4"/>
    <w:rsid w:val="00EF5450"/>
    <w:rsid w:val="00EF5A17"/>
    <w:rsid w:val="00EF5D0E"/>
    <w:rsid w:val="00EF692B"/>
    <w:rsid w:val="00EF71FD"/>
    <w:rsid w:val="00EF7D98"/>
    <w:rsid w:val="00F00AFF"/>
    <w:rsid w:val="00F00BE5"/>
    <w:rsid w:val="00F010E8"/>
    <w:rsid w:val="00F01DB9"/>
    <w:rsid w:val="00F02370"/>
    <w:rsid w:val="00F02CC3"/>
    <w:rsid w:val="00F03DC5"/>
    <w:rsid w:val="00F0555A"/>
    <w:rsid w:val="00F0642A"/>
    <w:rsid w:val="00F064AA"/>
    <w:rsid w:val="00F0715A"/>
    <w:rsid w:val="00F10BE4"/>
    <w:rsid w:val="00F113F0"/>
    <w:rsid w:val="00F11580"/>
    <w:rsid w:val="00F13077"/>
    <w:rsid w:val="00F14F8C"/>
    <w:rsid w:val="00F15117"/>
    <w:rsid w:val="00F16077"/>
    <w:rsid w:val="00F176FB"/>
    <w:rsid w:val="00F214E2"/>
    <w:rsid w:val="00F26C71"/>
    <w:rsid w:val="00F31072"/>
    <w:rsid w:val="00F318E1"/>
    <w:rsid w:val="00F32149"/>
    <w:rsid w:val="00F326E8"/>
    <w:rsid w:val="00F33216"/>
    <w:rsid w:val="00F34FDF"/>
    <w:rsid w:val="00F35493"/>
    <w:rsid w:val="00F35F6F"/>
    <w:rsid w:val="00F36133"/>
    <w:rsid w:val="00F37372"/>
    <w:rsid w:val="00F37D5A"/>
    <w:rsid w:val="00F37EE5"/>
    <w:rsid w:val="00F40D06"/>
    <w:rsid w:val="00F411E2"/>
    <w:rsid w:val="00F43A93"/>
    <w:rsid w:val="00F450F0"/>
    <w:rsid w:val="00F45A78"/>
    <w:rsid w:val="00F45F4B"/>
    <w:rsid w:val="00F4652C"/>
    <w:rsid w:val="00F47D66"/>
    <w:rsid w:val="00F503AD"/>
    <w:rsid w:val="00F50C9B"/>
    <w:rsid w:val="00F5140A"/>
    <w:rsid w:val="00F5251E"/>
    <w:rsid w:val="00F52BFD"/>
    <w:rsid w:val="00F52C38"/>
    <w:rsid w:val="00F53483"/>
    <w:rsid w:val="00F5539A"/>
    <w:rsid w:val="00F5625E"/>
    <w:rsid w:val="00F56E36"/>
    <w:rsid w:val="00F56FB2"/>
    <w:rsid w:val="00F57782"/>
    <w:rsid w:val="00F61132"/>
    <w:rsid w:val="00F62DF1"/>
    <w:rsid w:val="00F63892"/>
    <w:rsid w:val="00F638F7"/>
    <w:rsid w:val="00F638F8"/>
    <w:rsid w:val="00F63AEE"/>
    <w:rsid w:val="00F6434E"/>
    <w:rsid w:val="00F648C6"/>
    <w:rsid w:val="00F64B45"/>
    <w:rsid w:val="00F7293B"/>
    <w:rsid w:val="00F7354F"/>
    <w:rsid w:val="00F74527"/>
    <w:rsid w:val="00F74E1D"/>
    <w:rsid w:val="00F80492"/>
    <w:rsid w:val="00F8262F"/>
    <w:rsid w:val="00F827EB"/>
    <w:rsid w:val="00F82FDF"/>
    <w:rsid w:val="00F862CC"/>
    <w:rsid w:val="00F867A6"/>
    <w:rsid w:val="00F9042F"/>
    <w:rsid w:val="00F9057F"/>
    <w:rsid w:val="00F90C70"/>
    <w:rsid w:val="00F933FB"/>
    <w:rsid w:val="00F945BB"/>
    <w:rsid w:val="00F94705"/>
    <w:rsid w:val="00F964E9"/>
    <w:rsid w:val="00F96EEE"/>
    <w:rsid w:val="00FA05B0"/>
    <w:rsid w:val="00FA0784"/>
    <w:rsid w:val="00FA08C9"/>
    <w:rsid w:val="00FA0AAD"/>
    <w:rsid w:val="00FA0D46"/>
    <w:rsid w:val="00FA0E13"/>
    <w:rsid w:val="00FA391A"/>
    <w:rsid w:val="00FA45DB"/>
    <w:rsid w:val="00FA5720"/>
    <w:rsid w:val="00FB1459"/>
    <w:rsid w:val="00FB16A8"/>
    <w:rsid w:val="00FB18C1"/>
    <w:rsid w:val="00FB1AE2"/>
    <w:rsid w:val="00FB3185"/>
    <w:rsid w:val="00FB33AE"/>
    <w:rsid w:val="00FB3405"/>
    <w:rsid w:val="00FB54DC"/>
    <w:rsid w:val="00FB6E9C"/>
    <w:rsid w:val="00FB6F06"/>
    <w:rsid w:val="00FB7773"/>
    <w:rsid w:val="00FC10C6"/>
    <w:rsid w:val="00FC1616"/>
    <w:rsid w:val="00FC16D8"/>
    <w:rsid w:val="00FC1D1F"/>
    <w:rsid w:val="00FC2843"/>
    <w:rsid w:val="00FC2EBE"/>
    <w:rsid w:val="00FC3FB8"/>
    <w:rsid w:val="00FC4A53"/>
    <w:rsid w:val="00FC5801"/>
    <w:rsid w:val="00FC6B20"/>
    <w:rsid w:val="00FC7126"/>
    <w:rsid w:val="00FC7233"/>
    <w:rsid w:val="00FC73B4"/>
    <w:rsid w:val="00FC793C"/>
    <w:rsid w:val="00FD08B5"/>
    <w:rsid w:val="00FD21B2"/>
    <w:rsid w:val="00FD5690"/>
    <w:rsid w:val="00FD65DE"/>
    <w:rsid w:val="00FD6838"/>
    <w:rsid w:val="00FD6B72"/>
    <w:rsid w:val="00FD729E"/>
    <w:rsid w:val="00FE0142"/>
    <w:rsid w:val="00FE3CEC"/>
    <w:rsid w:val="00FE3EDF"/>
    <w:rsid w:val="00FE431A"/>
    <w:rsid w:val="00FE5C16"/>
    <w:rsid w:val="00FE5DF3"/>
    <w:rsid w:val="00FE7BFE"/>
    <w:rsid w:val="00FF09EC"/>
    <w:rsid w:val="00FF0E9F"/>
    <w:rsid w:val="00FF20CE"/>
    <w:rsid w:val="00FF51FA"/>
    <w:rsid w:val="00FF574B"/>
    <w:rsid w:val="00FF5E47"/>
    <w:rsid w:val="01D1B333"/>
    <w:rsid w:val="029B53D9"/>
    <w:rsid w:val="045881C6"/>
    <w:rsid w:val="063E7E47"/>
    <w:rsid w:val="06E9B645"/>
    <w:rsid w:val="09E89A99"/>
    <w:rsid w:val="0A7978B4"/>
    <w:rsid w:val="0AC9D3CD"/>
    <w:rsid w:val="0AF3BC4F"/>
    <w:rsid w:val="0B6C6560"/>
    <w:rsid w:val="0BC2BB95"/>
    <w:rsid w:val="0C18A076"/>
    <w:rsid w:val="0C601316"/>
    <w:rsid w:val="0DB9DACF"/>
    <w:rsid w:val="0E6AB837"/>
    <w:rsid w:val="0EFCB6D0"/>
    <w:rsid w:val="0F367FC9"/>
    <w:rsid w:val="0F4A1EAC"/>
    <w:rsid w:val="10361CB7"/>
    <w:rsid w:val="10D89E95"/>
    <w:rsid w:val="119DEC3D"/>
    <w:rsid w:val="1221960B"/>
    <w:rsid w:val="122BE316"/>
    <w:rsid w:val="1264D520"/>
    <w:rsid w:val="13B7D249"/>
    <w:rsid w:val="1473D4FD"/>
    <w:rsid w:val="14B14C77"/>
    <w:rsid w:val="170D95C2"/>
    <w:rsid w:val="17AF856A"/>
    <w:rsid w:val="17FD46C7"/>
    <w:rsid w:val="18B28E00"/>
    <w:rsid w:val="1977BECE"/>
    <w:rsid w:val="1B3E30D7"/>
    <w:rsid w:val="1B65957D"/>
    <w:rsid w:val="1C11F5B0"/>
    <w:rsid w:val="1D568964"/>
    <w:rsid w:val="201115A0"/>
    <w:rsid w:val="203D6332"/>
    <w:rsid w:val="20E972A3"/>
    <w:rsid w:val="216AF460"/>
    <w:rsid w:val="22BA31A2"/>
    <w:rsid w:val="24021C39"/>
    <w:rsid w:val="2413B7B3"/>
    <w:rsid w:val="243E549B"/>
    <w:rsid w:val="24BDC96B"/>
    <w:rsid w:val="253278AD"/>
    <w:rsid w:val="256570D9"/>
    <w:rsid w:val="25A48B52"/>
    <w:rsid w:val="26250486"/>
    <w:rsid w:val="264321D7"/>
    <w:rsid w:val="26D0796A"/>
    <w:rsid w:val="279D522F"/>
    <w:rsid w:val="27B58DA7"/>
    <w:rsid w:val="28126374"/>
    <w:rsid w:val="289D1B12"/>
    <w:rsid w:val="28A80315"/>
    <w:rsid w:val="2A20069C"/>
    <w:rsid w:val="2A6E6947"/>
    <w:rsid w:val="2B589DF6"/>
    <w:rsid w:val="2BB30778"/>
    <w:rsid w:val="2C0B6B75"/>
    <w:rsid w:val="2C397B3F"/>
    <w:rsid w:val="2D25CD50"/>
    <w:rsid w:val="2DCC692B"/>
    <w:rsid w:val="2DDC88E4"/>
    <w:rsid w:val="2E5F4709"/>
    <w:rsid w:val="2EC6C115"/>
    <w:rsid w:val="2FCEE155"/>
    <w:rsid w:val="31078599"/>
    <w:rsid w:val="31D88F1C"/>
    <w:rsid w:val="31E7D5E2"/>
    <w:rsid w:val="322DEBE4"/>
    <w:rsid w:val="3276A367"/>
    <w:rsid w:val="32E4E4FD"/>
    <w:rsid w:val="33520813"/>
    <w:rsid w:val="33D3E664"/>
    <w:rsid w:val="33EBC0F0"/>
    <w:rsid w:val="347B0B2C"/>
    <w:rsid w:val="34D74C77"/>
    <w:rsid w:val="352F6995"/>
    <w:rsid w:val="361BDC3E"/>
    <w:rsid w:val="36E0F76D"/>
    <w:rsid w:val="36E588FB"/>
    <w:rsid w:val="37B8A2F2"/>
    <w:rsid w:val="380FA6B5"/>
    <w:rsid w:val="39860ADF"/>
    <w:rsid w:val="3BC91DEE"/>
    <w:rsid w:val="3C4FA111"/>
    <w:rsid w:val="3D233CB6"/>
    <w:rsid w:val="3E1827C7"/>
    <w:rsid w:val="3E2E8969"/>
    <w:rsid w:val="3E570F1D"/>
    <w:rsid w:val="3F3F75DC"/>
    <w:rsid w:val="3F5C9B82"/>
    <w:rsid w:val="3F725BF5"/>
    <w:rsid w:val="3FAB64F7"/>
    <w:rsid w:val="406EBC9D"/>
    <w:rsid w:val="4099CFCF"/>
    <w:rsid w:val="416B0B46"/>
    <w:rsid w:val="424E8A84"/>
    <w:rsid w:val="42F541A5"/>
    <w:rsid w:val="433FFC43"/>
    <w:rsid w:val="44FF763A"/>
    <w:rsid w:val="46877D7E"/>
    <w:rsid w:val="46E25D6C"/>
    <w:rsid w:val="486AD239"/>
    <w:rsid w:val="49BDF743"/>
    <w:rsid w:val="49BFAE55"/>
    <w:rsid w:val="4B539FA9"/>
    <w:rsid w:val="4BBDA261"/>
    <w:rsid w:val="4C228CDA"/>
    <w:rsid w:val="4CE6C638"/>
    <w:rsid w:val="4F458768"/>
    <w:rsid w:val="51D6BC90"/>
    <w:rsid w:val="521AD9B9"/>
    <w:rsid w:val="52EE73E5"/>
    <w:rsid w:val="5391DE87"/>
    <w:rsid w:val="53E72075"/>
    <w:rsid w:val="569BB508"/>
    <w:rsid w:val="56E6CBB4"/>
    <w:rsid w:val="572B9EB7"/>
    <w:rsid w:val="580351A2"/>
    <w:rsid w:val="58CAA0FB"/>
    <w:rsid w:val="592EBE59"/>
    <w:rsid w:val="59BDA296"/>
    <w:rsid w:val="59E02AFF"/>
    <w:rsid w:val="5AB8341B"/>
    <w:rsid w:val="5B8D8AF6"/>
    <w:rsid w:val="5BB93A0A"/>
    <w:rsid w:val="5C7F3861"/>
    <w:rsid w:val="5CB8F58A"/>
    <w:rsid w:val="5DF73D01"/>
    <w:rsid w:val="611F024B"/>
    <w:rsid w:val="620670CB"/>
    <w:rsid w:val="626BC7C3"/>
    <w:rsid w:val="627076DA"/>
    <w:rsid w:val="62FD31B4"/>
    <w:rsid w:val="6359C6E5"/>
    <w:rsid w:val="637D67EA"/>
    <w:rsid w:val="661F2D61"/>
    <w:rsid w:val="6632C785"/>
    <w:rsid w:val="6709405E"/>
    <w:rsid w:val="67863F46"/>
    <w:rsid w:val="688F3151"/>
    <w:rsid w:val="695D1F23"/>
    <w:rsid w:val="69D94A77"/>
    <w:rsid w:val="6A3F94BD"/>
    <w:rsid w:val="6A71295E"/>
    <w:rsid w:val="6BAF3025"/>
    <w:rsid w:val="6C4B9AE4"/>
    <w:rsid w:val="6CD43DD3"/>
    <w:rsid w:val="6DE35AED"/>
    <w:rsid w:val="6E199856"/>
    <w:rsid w:val="6EB10000"/>
    <w:rsid w:val="6F244BDD"/>
    <w:rsid w:val="6FA2B66C"/>
    <w:rsid w:val="6FC3CA20"/>
    <w:rsid w:val="707A5660"/>
    <w:rsid w:val="7114F7EF"/>
    <w:rsid w:val="71CF98C3"/>
    <w:rsid w:val="72C0E930"/>
    <w:rsid w:val="72D7A4D1"/>
    <w:rsid w:val="730D0301"/>
    <w:rsid w:val="740AF914"/>
    <w:rsid w:val="7456FDF9"/>
    <w:rsid w:val="749DA89C"/>
    <w:rsid w:val="74E1920C"/>
    <w:rsid w:val="758E1669"/>
    <w:rsid w:val="75A89521"/>
    <w:rsid w:val="75C4E652"/>
    <w:rsid w:val="76039080"/>
    <w:rsid w:val="77D7E766"/>
    <w:rsid w:val="77F59B77"/>
    <w:rsid w:val="79E6A778"/>
    <w:rsid w:val="7A3F3F8D"/>
    <w:rsid w:val="7BBC921F"/>
    <w:rsid w:val="7C4699DE"/>
    <w:rsid w:val="7C939145"/>
    <w:rsid w:val="7CE78545"/>
    <w:rsid w:val="7CF16A12"/>
    <w:rsid w:val="7E5738D8"/>
    <w:rsid w:val="7F1FCC91"/>
    <w:rsid w:val="7FA94554"/>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3225F"/>
  <w15:docId w15:val="{611015D7-CF9D-46F9-9E4F-E29FBFD3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FDF"/>
    <w:pPr>
      <w:spacing w:after="0" w:line="240" w:lineRule="auto"/>
    </w:pPr>
    <w:rPr>
      <w:rFonts w:ascii="Mangal" w:eastAsia="Times New Roman" w:hAnsi="Mangal" w:cs="Mangal"/>
      <w:color w:val="000000"/>
      <w:sz w:val="21"/>
      <w:szCs w:val="21"/>
      <w:lang w:val="en-US"/>
    </w:rPr>
  </w:style>
  <w:style w:type="paragraph" w:styleId="Heading1">
    <w:name w:val="heading 1"/>
    <w:basedOn w:val="Normal"/>
    <w:next w:val="Normal"/>
    <w:link w:val="Heading1Char"/>
    <w:uiPriority w:val="9"/>
    <w:qFormat/>
    <w:rsid w:val="00CA187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D5AD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Para,WinDForce-Letter,List Paragraph1,Medium Grid 1 - Accent 21,Bullet 05,Annexure,Colorful List - Accent 11,Heading 91,heading 9,Resume Title,heading 4,Citation List,Ha,Graphic,Heading 41,Heading 411,TOC style,Paragraph,ADB Normal"/>
    <w:basedOn w:val="Normal"/>
    <w:link w:val="ListParagraphChar"/>
    <w:uiPriority w:val="34"/>
    <w:qFormat/>
    <w:rsid w:val="00702E65"/>
    <w:pPr>
      <w:ind w:left="720"/>
      <w:contextualSpacing/>
    </w:pPr>
  </w:style>
  <w:style w:type="paragraph" w:styleId="BalloonText">
    <w:name w:val="Balloon Text"/>
    <w:basedOn w:val="Normal"/>
    <w:link w:val="BalloonTextChar"/>
    <w:uiPriority w:val="99"/>
    <w:semiHidden/>
    <w:unhideWhenUsed/>
    <w:rsid w:val="00B416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631"/>
    <w:rPr>
      <w:rFonts w:ascii="Segoe UI" w:eastAsia="Times New Roman" w:hAnsi="Segoe UI" w:cs="Segoe UI"/>
      <w:color w:val="000000"/>
      <w:sz w:val="18"/>
      <w:szCs w:val="18"/>
      <w:lang w:val="en-US"/>
    </w:rPr>
  </w:style>
  <w:style w:type="character" w:customStyle="1" w:styleId="ListParagraphChar">
    <w:name w:val="List Paragraph Char"/>
    <w:aliases w:val="Report Para Char,WinDForce-Letter Char,List Paragraph1 Char,Medium Grid 1 - Accent 21 Char,Bullet 05 Char,Annexure Char,Colorful List - Accent 11 Char,Heading 91 Char,heading 9 Char,Resume Title Char,heading 4 Char,Citation List Char"/>
    <w:link w:val="ListParagraph"/>
    <w:uiPriority w:val="34"/>
    <w:qFormat/>
    <w:locked/>
    <w:rsid w:val="00C45B83"/>
    <w:rPr>
      <w:rFonts w:ascii="Mangal" w:eastAsia="Times New Roman" w:hAnsi="Mangal" w:cs="Mangal"/>
      <w:color w:val="000000"/>
      <w:sz w:val="21"/>
      <w:szCs w:val="21"/>
      <w:lang w:val="en-US"/>
    </w:rPr>
  </w:style>
  <w:style w:type="table" w:styleId="TableGrid">
    <w:name w:val="Table Grid"/>
    <w:basedOn w:val="TableNormal"/>
    <w:uiPriority w:val="59"/>
    <w:rsid w:val="008E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80485"/>
    <w:rPr>
      <w:color w:val="0000FF" w:themeColor="hyperlink"/>
      <w:u w:val="single"/>
    </w:rPr>
  </w:style>
  <w:style w:type="character" w:styleId="CommentReference">
    <w:name w:val="annotation reference"/>
    <w:basedOn w:val="DefaultParagraphFont"/>
    <w:uiPriority w:val="99"/>
    <w:semiHidden/>
    <w:unhideWhenUsed/>
    <w:rsid w:val="000D02D2"/>
    <w:rPr>
      <w:sz w:val="16"/>
      <w:szCs w:val="16"/>
    </w:rPr>
  </w:style>
  <w:style w:type="paragraph" w:styleId="CommentText">
    <w:name w:val="annotation text"/>
    <w:basedOn w:val="Normal"/>
    <w:link w:val="CommentTextChar"/>
    <w:uiPriority w:val="99"/>
    <w:unhideWhenUsed/>
    <w:rsid w:val="000D02D2"/>
    <w:rPr>
      <w:sz w:val="20"/>
      <w:szCs w:val="20"/>
    </w:rPr>
  </w:style>
  <w:style w:type="character" w:customStyle="1" w:styleId="CommentTextChar">
    <w:name w:val="Comment Text Char"/>
    <w:basedOn w:val="DefaultParagraphFont"/>
    <w:link w:val="CommentText"/>
    <w:uiPriority w:val="99"/>
    <w:rsid w:val="000D02D2"/>
    <w:rPr>
      <w:rFonts w:ascii="Mangal" w:eastAsia="Times New Roman" w:hAnsi="Mangal" w:cs="Mangal"/>
      <w:color w:val="000000"/>
      <w:sz w:val="20"/>
      <w:szCs w:val="20"/>
      <w:lang w:val="en-US"/>
    </w:rPr>
  </w:style>
  <w:style w:type="paragraph" w:styleId="CommentSubject">
    <w:name w:val="annotation subject"/>
    <w:basedOn w:val="CommentText"/>
    <w:next w:val="CommentText"/>
    <w:link w:val="CommentSubjectChar"/>
    <w:uiPriority w:val="99"/>
    <w:semiHidden/>
    <w:unhideWhenUsed/>
    <w:rsid w:val="000D02D2"/>
    <w:rPr>
      <w:b/>
      <w:bCs/>
    </w:rPr>
  </w:style>
  <w:style w:type="character" w:customStyle="1" w:styleId="CommentSubjectChar">
    <w:name w:val="Comment Subject Char"/>
    <w:basedOn w:val="CommentTextChar"/>
    <w:link w:val="CommentSubject"/>
    <w:uiPriority w:val="99"/>
    <w:semiHidden/>
    <w:rsid w:val="000D02D2"/>
    <w:rPr>
      <w:rFonts w:ascii="Mangal" w:eastAsia="Times New Roman" w:hAnsi="Mangal" w:cs="Mangal"/>
      <w:b/>
      <w:bCs/>
      <w:color w:val="000000"/>
      <w:sz w:val="20"/>
      <w:szCs w:val="20"/>
      <w:lang w:val="en-US"/>
    </w:rPr>
  </w:style>
  <w:style w:type="paragraph" w:styleId="Revision">
    <w:name w:val="Revision"/>
    <w:hidden/>
    <w:uiPriority w:val="99"/>
    <w:semiHidden/>
    <w:rsid w:val="000D02D2"/>
    <w:pPr>
      <w:spacing w:after="0" w:line="240" w:lineRule="auto"/>
    </w:pPr>
    <w:rPr>
      <w:rFonts w:ascii="Mangal" w:eastAsia="Times New Roman" w:hAnsi="Mangal" w:cs="Mangal"/>
      <w:color w:val="000000"/>
      <w:sz w:val="21"/>
      <w:szCs w:val="21"/>
      <w:lang w:val="en-US"/>
    </w:rPr>
  </w:style>
  <w:style w:type="paragraph" w:styleId="Header">
    <w:name w:val="header"/>
    <w:basedOn w:val="Normal"/>
    <w:link w:val="HeaderChar"/>
    <w:uiPriority w:val="99"/>
    <w:unhideWhenUsed/>
    <w:rsid w:val="0053000A"/>
    <w:pPr>
      <w:tabs>
        <w:tab w:val="center" w:pos="4680"/>
        <w:tab w:val="right" w:pos="9360"/>
      </w:tabs>
    </w:pPr>
  </w:style>
  <w:style w:type="character" w:customStyle="1" w:styleId="HeaderChar">
    <w:name w:val="Header Char"/>
    <w:basedOn w:val="DefaultParagraphFont"/>
    <w:link w:val="Header"/>
    <w:uiPriority w:val="99"/>
    <w:rsid w:val="0053000A"/>
    <w:rPr>
      <w:rFonts w:ascii="Mangal" w:eastAsia="Times New Roman" w:hAnsi="Mangal" w:cs="Mangal"/>
      <w:color w:val="000000"/>
      <w:sz w:val="21"/>
      <w:szCs w:val="21"/>
      <w:lang w:val="en-US"/>
    </w:rPr>
  </w:style>
  <w:style w:type="paragraph" w:styleId="Footer">
    <w:name w:val="footer"/>
    <w:basedOn w:val="Normal"/>
    <w:link w:val="FooterChar"/>
    <w:uiPriority w:val="99"/>
    <w:unhideWhenUsed/>
    <w:rsid w:val="0053000A"/>
    <w:pPr>
      <w:tabs>
        <w:tab w:val="center" w:pos="4680"/>
        <w:tab w:val="right" w:pos="9360"/>
      </w:tabs>
    </w:pPr>
  </w:style>
  <w:style w:type="character" w:customStyle="1" w:styleId="FooterChar">
    <w:name w:val="Footer Char"/>
    <w:basedOn w:val="DefaultParagraphFont"/>
    <w:link w:val="Footer"/>
    <w:uiPriority w:val="99"/>
    <w:rsid w:val="0053000A"/>
    <w:rPr>
      <w:rFonts w:ascii="Mangal" w:eastAsia="Times New Roman" w:hAnsi="Mangal" w:cs="Mangal"/>
      <w:color w:val="000000"/>
      <w:sz w:val="21"/>
      <w:szCs w:val="21"/>
      <w:lang w:val="en-US"/>
    </w:rPr>
  </w:style>
  <w:style w:type="paragraph" w:customStyle="1" w:styleId="Default">
    <w:name w:val="Default"/>
    <w:rsid w:val="00391A7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paragraph">
    <w:name w:val="paragraph"/>
    <w:basedOn w:val="Normal"/>
    <w:rsid w:val="00A554D5"/>
    <w:pPr>
      <w:spacing w:before="100" w:beforeAutospacing="1" w:after="100" w:afterAutospacing="1"/>
    </w:pPr>
    <w:rPr>
      <w:rFonts w:ascii="Times New Roman" w:hAnsi="Times New Roman" w:cs="Times New Roman"/>
      <w:color w:val="auto"/>
      <w:sz w:val="24"/>
      <w:szCs w:val="24"/>
    </w:rPr>
  </w:style>
  <w:style w:type="character" w:customStyle="1" w:styleId="normaltextrun">
    <w:name w:val="normaltextrun"/>
    <w:basedOn w:val="DefaultParagraphFont"/>
    <w:rsid w:val="00A554D5"/>
  </w:style>
  <w:style w:type="character" w:customStyle="1" w:styleId="eop">
    <w:name w:val="eop"/>
    <w:basedOn w:val="DefaultParagraphFont"/>
    <w:rsid w:val="00A554D5"/>
  </w:style>
  <w:style w:type="paragraph" w:styleId="NormalWeb">
    <w:name w:val="Normal (Web)"/>
    <w:basedOn w:val="Normal"/>
    <w:uiPriority w:val="99"/>
    <w:unhideWhenUsed/>
    <w:rsid w:val="00774322"/>
    <w:pPr>
      <w:spacing w:before="100" w:beforeAutospacing="1" w:after="100" w:afterAutospacing="1"/>
    </w:pPr>
    <w:rPr>
      <w:rFonts w:ascii="Times New Roman" w:hAnsi="Times New Roman" w:cs="Times New Roman"/>
      <w:color w:val="auto"/>
      <w:sz w:val="24"/>
      <w:szCs w:val="24"/>
    </w:rPr>
  </w:style>
  <w:style w:type="table" w:customStyle="1" w:styleId="TableGrid1">
    <w:name w:val="Table Grid1"/>
    <w:basedOn w:val="TableNormal"/>
    <w:next w:val="TableGrid"/>
    <w:uiPriority w:val="59"/>
    <w:rsid w:val="00C02856"/>
    <w:pPr>
      <w:spacing w:after="0" w:line="240" w:lineRule="auto"/>
    </w:pPr>
    <w:tblPr/>
  </w:style>
  <w:style w:type="character" w:customStyle="1" w:styleId="cf01">
    <w:name w:val="cf01"/>
    <w:basedOn w:val="DefaultParagraphFont"/>
    <w:rsid w:val="00CD5FD3"/>
    <w:rPr>
      <w:rFonts w:ascii="Segoe UI" w:hAnsi="Segoe UI" w:cs="Segoe UI" w:hint="default"/>
      <w:sz w:val="18"/>
      <w:szCs w:val="18"/>
    </w:rPr>
  </w:style>
  <w:style w:type="character" w:customStyle="1" w:styleId="Heading2Char">
    <w:name w:val="Heading 2 Char"/>
    <w:basedOn w:val="DefaultParagraphFont"/>
    <w:link w:val="Heading2"/>
    <w:uiPriority w:val="9"/>
    <w:rsid w:val="004D5ADF"/>
    <w:rPr>
      <w:rFonts w:asciiTheme="majorHAnsi" w:eastAsiaTheme="majorEastAsia" w:hAnsiTheme="majorHAnsi" w:cstheme="majorBidi"/>
      <w:color w:val="365F91" w:themeColor="accent1" w:themeShade="BF"/>
      <w:sz w:val="26"/>
      <w:szCs w:val="26"/>
      <w:lang w:val="en-US"/>
    </w:rPr>
  </w:style>
  <w:style w:type="character" w:customStyle="1" w:styleId="Heading1Char">
    <w:name w:val="Heading 1 Char"/>
    <w:basedOn w:val="DefaultParagraphFont"/>
    <w:link w:val="Heading1"/>
    <w:uiPriority w:val="9"/>
    <w:rsid w:val="00CA1875"/>
    <w:rPr>
      <w:rFonts w:asciiTheme="majorHAnsi" w:eastAsiaTheme="majorEastAsia" w:hAnsiTheme="majorHAnsi" w:cstheme="majorBidi"/>
      <w:color w:val="365F91" w:themeColor="accent1" w:themeShade="BF"/>
      <w:sz w:val="32"/>
      <w:szCs w:val="32"/>
      <w:lang w:val="en-US"/>
    </w:rPr>
  </w:style>
  <w:style w:type="table" w:customStyle="1" w:styleId="TableGrid2">
    <w:name w:val="Table Grid2"/>
    <w:basedOn w:val="TableNormal"/>
    <w:next w:val="TableGrid"/>
    <w:uiPriority w:val="59"/>
    <w:rsid w:val="00CA18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1"/>
    <w:qFormat/>
    <w:rsid w:val="00CA1875"/>
    <w:pPr>
      <w:widowControl w:val="0"/>
      <w:autoSpaceDE w:val="0"/>
      <w:autoSpaceDN w:val="0"/>
      <w:ind w:left="599" w:right="113"/>
      <w:jc w:val="both"/>
    </w:pPr>
    <w:rPr>
      <w:rFonts w:ascii="Cambria" w:eastAsia="Cambria" w:hAnsi="Cambria" w:cs="Cambria"/>
      <w:color w:val="auto"/>
      <w:sz w:val="24"/>
      <w:szCs w:val="24"/>
    </w:rPr>
  </w:style>
  <w:style w:type="character" w:customStyle="1" w:styleId="BodyTextChar">
    <w:name w:val="Body Text Char"/>
    <w:basedOn w:val="DefaultParagraphFont"/>
    <w:link w:val="BodyText"/>
    <w:uiPriority w:val="1"/>
    <w:rsid w:val="00CA1875"/>
    <w:rPr>
      <w:rFonts w:ascii="Cambria" w:eastAsia="Cambria" w:hAnsi="Cambria" w:cs="Cambria"/>
      <w:sz w:val="24"/>
      <w:szCs w:val="24"/>
      <w:lang w:val="en-US"/>
    </w:rPr>
  </w:style>
  <w:style w:type="character" w:customStyle="1" w:styleId="fontstyle01">
    <w:name w:val="fontstyle01"/>
    <w:basedOn w:val="DefaultParagraphFont"/>
    <w:rsid w:val="00CA1875"/>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CA1875"/>
    <w:rPr>
      <w:b/>
      <w:bCs/>
    </w:rPr>
  </w:style>
  <w:style w:type="character" w:customStyle="1" w:styleId="zmsearchresult">
    <w:name w:val="zmsearchresult"/>
    <w:basedOn w:val="DefaultParagraphFont"/>
    <w:rsid w:val="00CA1875"/>
  </w:style>
  <w:style w:type="table" w:customStyle="1" w:styleId="LightList-Accent11">
    <w:name w:val="Light List - Accent 11"/>
    <w:basedOn w:val="TableNormal"/>
    <w:uiPriority w:val="61"/>
    <w:rsid w:val="00CA1875"/>
    <w:pPr>
      <w:spacing w:after="0" w:line="240" w:lineRule="auto"/>
    </w:pPr>
    <w:rPr>
      <w:rFonts w:ascii="Georgia" w:hAnsi="Georgia"/>
      <w:sz w:val="20"/>
      <w:szCs w:val="20"/>
      <w:lang w:val="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Mention">
    <w:name w:val="Mention"/>
    <w:basedOn w:val="DefaultParagraphFont"/>
    <w:uiPriority w:val="99"/>
    <w:unhideWhenUsed/>
    <w:rsid w:val="00CA1875"/>
    <w:rPr>
      <w:color w:val="2B579A"/>
      <w:shd w:val="clear" w:color="auto" w:fill="E1DFDD"/>
    </w:rPr>
  </w:style>
  <w:style w:type="character" w:styleId="Emphasis">
    <w:name w:val="Emphasis"/>
    <w:basedOn w:val="DefaultParagraphFont"/>
    <w:uiPriority w:val="20"/>
    <w:qFormat/>
    <w:rsid w:val="005639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23342">
      <w:bodyDiv w:val="1"/>
      <w:marLeft w:val="0"/>
      <w:marRight w:val="0"/>
      <w:marTop w:val="0"/>
      <w:marBottom w:val="0"/>
      <w:divBdr>
        <w:top w:val="none" w:sz="0" w:space="0" w:color="auto"/>
        <w:left w:val="none" w:sz="0" w:space="0" w:color="auto"/>
        <w:bottom w:val="none" w:sz="0" w:space="0" w:color="auto"/>
        <w:right w:val="none" w:sz="0" w:space="0" w:color="auto"/>
      </w:divBdr>
    </w:div>
    <w:div w:id="677200979">
      <w:bodyDiv w:val="1"/>
      <w:marLeft w:val="0"/>
      <w:marRight w:val="0"/>
      <w:marTop w:val="0"/>
      <w:marBottom w:val="0"/>
      <w:divBdr>
        <w:top w:val="none" w:sz="0" w:space="0" w:color="auto"/>
        <w:left w:val="none" w:sz="0" w:space="0" w:color="auto"/>
        <w:bottom w:val="none" w:sz="0" w:space="0" w:color="auto"/>
        <w:right w:val="none" w:sz="0" w:space="0" w:color="auto"/>
      </w:divBdr>
    </w:div>
    <w:div w:id="678045542">
      <w:bodyDiv w:val="1"/>
      <w:marLeft w:val="0"/>
      <w:marRight w:val="0"/>
      <w:marTop w:val="0"/>
      <w:marBottom w:val="0"/>
      <w:divBdr>
        <w:top w:val="none" w:sz="0" w:space="0" w:color="auto"/>
        <w:left w:val="none" w:sz="0" w:space="0" w:color="auto"/>
        <w:bottom w:val="none" w:sz="0" w:space="0" w:color="auto"/>
        <w:right w:val="none" w:sz="0" w:space="0" w:color="auto"/>
      </w:divBdr>
    </w:div>
    <w:div w:id="812064701">
      <w:bodyDiv w:val="1"/>
      <w:marLeft w:val="0"/>
      <w:marRight w:val="0"/>
      <w:marTop w:val="0"/>
      <w:marBottom w:val="0"/>
      <w:divBdr>
        <w:top w:val="none" w:sz="0" w:space="0" w:color="auto"/>
        <w:left w:val="none" w:sz="0" w:space="0" w:color="auto"/>
        <w:bottom w:val="none" w:sz="0" w:space="0" w:color="auto"/>
        <w:right w:val="none" w:sz="0" w:space="0" w:color="auto"/>
      </w:divBdr>
      <w:divsChild>
        <w:div w:id="272448003">
          <w:marLeft w:val="0"/>
          <w:marRight w:val="0"/>
          <w:marTop w:val="0"/>
          <w:marBottom w:val="0"/>
          <w:divBdr>
            <w:top w:val="none" w:sz="0" w:space="0" w:color="auto"/>
            <w:left w:val="none" w:sz="0" w:space="0" w:color="auto"/>
            <w:bottom w:val="none" w:sz="0" w:space="0" w:color="auto"/>
            <w:right w:val="none" w:sz="0" w:space="0" w:color="auto"/>
          </w:divBdr>
          <w:divsChild>
            <w:div w:id="19673646">
              <w:marLeft w:val="0"/>
              <w:marRight w:val="0"/>
              <w:marTop w:val="0"/>
              <w:marBottom w:val="0"/>
              <w:divBdr>
                <w:top w:val="none" w:sz="0" w:space="0" w:color="auto"/>
                <w:left w:val="none" w:sz="0" w:space="0" w:color="auto"/>
                <w:bottom w:val="none" w:sz="0" w:space="0" w:color="auto"/>
                <w:right w:val="none" w:sz="0" w:space="0" w:color="auto"/>
              </w:divBdr>
            </w:div>
            <w:div w:id="22292250">
              <w:marLeft w:val="0"/>
              <w:marRight w:val="0"/>
              <w:marTop w:val="0"/>
              <w:marBottom w:val="0"/>
              <w:divBdr>
                <w:top w:val="none" w:sz="0" w:space="0" w:color="auto"/>
                <w:left w:val="none" w:sz="0" w:space="0" w:color="auto"/>
                <w:bottom w:val="none" w:sz="0" w:space="0" w:color="auto"/>
                <w:right w:val="none" w:sz="0" w:space="0" w:color="auto"/>
              </w:divBdr>
            </w:div>
            <w:div w:id="232744631">
              <w:marLeft w:val="0"/>
              <w:marRight w:val="0"/>
              <w:marTop w:val="0"/>
              <w:marBottom w:val="0"/>
              <w:divBdr>
                <w:top w:val="none" w:sz="0" w:space="0" w:color="auto"/>
                <w:left w:val="none" w:sz="0" w:space="0" w:color="auto"/>
                <w:bottom w:val="none" w:sz="0" w:space="0" w:color="auto"/>
                <w:right w:val="none" w:sz="0" w:space="0" w:color="auto"/>
              </w:divBdr>
            </w:div>
            <w:div w:id="304434615">
              <w:marLeft w:val="0"/>
              <w:marRight w:val="0"/>
              <w:marTop w:val="0"/>
              <w:marBottom w:val="0"/>
              <w:divBdr>
                <w:top w:val="none" w:sz="0" w:space="0" w:color="auto"/>
                <w:left w:val="none" w:sz="0" w:space="0" w:color="auto"/>
                <w:bottom w:val="none" w:sz="0" w:space="0" w:color="auto"/>
                <w:right w:val="none" w:sz="0" w:space="0" w:color="auto"/>
              </w:divBdr>
            </w:div>
            <w:div w:id="400909164">
              <w:marLeft w:val="0"/>
              <w:marRight w:val="0"/>
              <w:marTop w:val="0"/>
              <w:marBottom w:val="0"/>
              <w:divBdr>
                <w:top w:val="none" w:sz="0" w:space="0" w:color="auto"/>
                <w:left w:val="none" w:sz="0" w:space="0" w:color="auto"/>
                <w:bottom w:val="none" w:sz="0" w:space="0" w:color="auto"/>
                <w:right w:val="none" w:sz="0" w:space="0" w:color="auto"/>
              </w:divBdr>
            </w:div>
            <w:div w:id="530529794">
              <w:marLeft w:val="0"/>
              <w:marRight w:val="0"/>
              <w:marTop w:val="0"/>
              <w:marBottom w:val="0"/>
              <w:divBdr>
                <w:top w:val="none" w:sz="0" w:space="0" w:color="auto"/>
                <w:left w:val="none" w:sz="0" w:space="0" w:color="auto"/>
                <w:bottom w:val="none" w:sz="0" w:space="0" w:color="auto"/>
                <w:right w:val="none" w:sz="0" w:space="0" w:color="auto"/>
              </w:divBdr>
            </w:div>
            <w:div w:id="785001571">
              <w:marLeft w:val="0"/>
              <w:marRight w:val="0"/>
              <w:marTop w:val="0"/>
              <w:marBottom w:val="0"/>
              <w:divBdr>
                <w:top w:val="none" w:sz="0" w:space="0" w:color="auto"/>
                <w:left w:val="none" w:sz="0" w:space="0" w:color="auto"/>
                <w:bottom w:val="none" w:sz="0" w:space="0" w:color="auto"/>
                <w:right w:val="none" w:sz="0" w:space="0" w:color="auto"/>
              </w:divBdr>
            </w:div>
            <w:div w:id="786703713">
              <w:marLeft w:val="0"/>
              <w:marRight w:val="0"/>
              <w:marTop w:val="0"/>
              <w:marBottom w:val="0"/>
              <w:divBdr>
                <w:top w:val="none" w:sz="0" w:space="0" w:color="auto"/>
                <w:left w:val="none" w:sz="0" w:space="0" w:color="auto"/>
                <w:bottom w:val="none" w:sz="0" w:space="0" w:color="auto"/>
                <w:right w:val="none" w:sz="0" w:space="0" w:color="auto"/>
              </w:divBdr>
            </w:div>
            <w:div w:id="862667793">
              <w:marLeft w:val="0"/>
              <w:marRight w:val="0"/>
              <w:marTop w:val="0"/>
              <w:marBottom w:val="0"/>
              <w:divBdr>
                <w:top w:val="none" w:sz="0" w:space="0" w:color="auto"/>
                <w:left w:val="none" w:sz="0" w:space="0" w:color="auto"/>
                <w:bottom w:val="none" w:sz="0" w:space="0" w:color="auto"/>
                <w:right w:val="none" w:sz="0" w:space="0" w:color="auto"/>
              </w:divBdr>
            </w:div>
            <w:div w:id="986596045">
              <w:marLeft w:val="0"/>
              <w:marRight w:val="0"/>
              <w:marTop w:val="0"/>
              <w:marBottom w:val="0"/>
              <w:divBdr>
                <w:top w:val="none" w:sz="0" w:space="0" w:color="auto"/>
                <w:left w:val="none" w:sz="0" w:space="0" w:color="auto"/>
                <w:bottom w:val="none" w:sz="0" w:space="0" w:color="auto"/>
                <w:right w:val="none" w:sz="0" w:space="0" w:color="auto"/>
              </w:divBdr>
            </w:div>
            <w:div w:id="1036663774">
              <w:marLeft w:val="0"/>
              <w:marRight w:val="0"/>
              <w:marTop w:val="0"/>
              <w:marBottom w:val="0"/>
              <w:divBdr>
                <w:top w:val="none" w:sz="0" w:space="0" w:color="auto"/>
                <w:left w:val="none" w:sz="0" w:space="0" w:color="auto"/>
                <w:bottom w:val="none" w:sz="0" w:space="0" w:color="auto"/>
                <w:right w:val="none" w:sz="0" w:space="0" w:color="auto"/>
              </w:divBdr>
            </w:div>
            <w:div w:id="1069696179">
              <w:marLeft w:val="0"/>
              <w:marRight w:val="0"/>
              <w:marTop w:val="0"/>
              <w:marBottom w:val="0"/>
              <w:divBdr>
                <w:top w:val="none" w:sz="0" w:space="0" w:color="auto"/>
                <w:left w:val="none" w:sz="0" w:space="0" w:color="auto"/>
                <w:bottom w:val="none" w:sz="0" w:space="0" w:color="auto"/>
                <w:right w:val="none" w:sz="0" w:space="0" w:color="auto"/>
              </w:divBdr>
            </w:div>
            <w:div w:id="1340541782">
              <w:marLeft w:val="0"/>
              <w:marRight w:val="0"/>
              <w:marTop w:val="0"/>
              <w:marBottom w:val="0"/>
              <w:divBdr>
                <w:top w:val="none" w:sz="0" w:space="0" w:color="auto"/>
                <w:left w:val="none" w:sz="0" w:space="0" w:color="auto"/>
                <w:bottom w:val="none" w:sz="0" w:space="0" w:color="auto"/>
                <w:right w:val="none" w:sz="0" w:space="0" w:color="auto"/>
              </w:divBdr>
            </w:div>
            <w:div w:id="1419327995">
              <w:marLeft w:val="0"/>
              <w:marRight w:val="0"/>
              <w:marTop w:val="0"/>
              <w:marBottom w:val="0"/>
              <w:divBdr>
                <w:top w:val="none" w:sz="0" w:space="0" w:color="auto"/>
                <w:left w:val="none" w:sz="0" w:space="0" w:color="auto"/>
                <w:bottom w:val="none" w:sz="0" w:space="0" w:color="auto"/>
                <w:right w:val="none" w:sz="0" w:space="0" w:color="auto"/>
              </w:divBdr>
            </w:div>
            <w:div w:id="1484808334">
              <w:marLeft w:val="0"/>
              <w:marRight w:val="0"/>
              <w:marTop w:val="0"/>
              <w:marBottom w:val="0"/>
              <w:divBdr>
                <w:top w:val="none" w:sz="0" w:space="0" w:color="auto"/>
                <w:left w:val="none" w:sz="0" w:space="0" w:color="auto"/>
                <w:bottom w:val="none" w:sz="0" w:space="0" w:color="auto"/>
                <w:right w:val="none" w:sz="0" w:space="0" w:color="auto"/>
              </w:divBdr>
            </w:div>
            <w:div w:id="1794012745">
              <w:marLeft w:val="0"/>
              <w:marRight w:val="0"/>
              <w:marTop w:val="0"/>
              <w:marBottom w:val="0"/>
              <w:divBdr>
                <w:top w:val="none" w:sz="0" w:space="0" w:color="auto"/>
                <w:left w:val="none" w:sz="0" w:space="0" w:color="auto"/>
                <w:bottom w:val="none" w:sz="0" w:space="0" w:color="auto"/>
                <w:right w:val="none" w:sz="0" w:space="0" w:color="auto"/>
              </w:divBdr>
            </w:div>
            <w:div w:id="1799496621">
              <w:marLeft w:val="0"/>
              <w:marRight w:val="0"/>
              <w:marTop w:val="0"/>
              <w:marBottom w:val="0"/>
              <w:divBdr>
                <w:top w:val="none" w:sz="0" w:space="0" w:color="auto"/>
                <w:left w:val="none" w:sz="0" w:space="0" w:color="auto"/>
                <w:bottom w:val="none" w:sz="0" w:space="0" w:color="auto"/>
                <w:right w:val="none" w:sz="0" w:space="0" w:color="auto"/>
              </w:divBdr>
            </w:div>
            <w:div w:id="1867135619">
              <w:marLeft w:val="0"/>
              <w:marRight w:val="0"/>
              <w:marTop w:val="0"/>
              <w:marBottom w:val="0"/>
              <w:divBdr>
                <w:top w:val="none" w:sz="0" w:space="0" w:color="auto"/>
                <w:left w:val="none" w:sz="0" w:space="0" w:color="auto"/>
                <w:bottom w:val="none" w:sz="0" w:space="0" w:color="auto"/>
                <w:right w:val="none" w:sz="0" w:space="0" w:color="auto"/>
              </w:divBdr>
            </w:div>
            <w:div w:id="1952123336">
              <w:marLeft w:val="0"/>
              <w:marRight w:val="0"/>
              <w:marTop w:val="0"/>
              <w:marBottom w:val="0"/>
              <w:divBdr>
                <w:top w:val="none" w:sz="0" w:space="0" w:color="auto"/>
                <w:left w:val="none" w:sz="0" w:space="0" w:color="auto"/>
                <w:bottom w:val="none" w:sz="0" w:space="0" w:color="auto"/>
                <w:right w:val="none" w:sz="0" w:space="0" w:color="auto"/>
              </w:divBdr>
            </w:div>
            <w:div w:id="1989359350">
              <w:marLeft w:val="0"/>
              <w:marRight w:val="0"/>
              <w:marTop w:val="0"/>
              <w:marBottom w:val="0"/>
              <w:divBdr>
                <w:top w:val="none" w:sz="0" w:space="0" w:color="auto"/>
                <w:left w:val="none" w:sz="0" w:space="0" w:color="auto"/>
                <w:bottom w:val="none" w:sz="0" w:space="0" w:color="auto"/>
                <w:right w:val="none" w:sz="0" w:space="0" w:color="auto"/>
              </w:divBdr>
            </w:div>
          </w:divsChild>
        </w:div>
        <w:div w:id="748162159">
          <w:marLeft w:val="0"/>
          <w:marRight w:val="0"/>
          <w:marTop w:val="0"/>
          <w:marBottom w:val="0"/>
          <w:divBdr>
            <w:top w:val="none" w:sz="0" w:space="0" w:color="auto"/>
            <w:left w:val="none" w:sz="0" w:space="0" w:color="auto"/>
            <w:bottom w:val="none" w:sz="0" w:space="0" w:color="auto"/>
            <w:right w:val="none" w:sz="0" w:space="0" w:color="auto"/>
          </w:divBdr>
          <w:divsChild>
            <w:div w:id="159657457">
              <w:marLeft w:val="0"/>
              <w:marRight w:val="0"/>
              <w:marTop w:val="0"/>
              <w:marBottom w:val="0"/>
              <w:divBdr>
                <w:top w:val="none" w:sz="0" w:space="0" w:color="auto"/>
                <w:left w:val="none" w:sz="0" w:space="0" w:color="auto"/>
                <w:bottom w:val="none" w:sz="0" w:space="0" w:color="auto"/>
                <w:right w:val="none" w:sz="0" w:space="0" w:color="auto"/>
              </w:divBdr>
            </w:div>
            <w:div w:id="584337704">
              <w:marLeft w:val="0"/>
              <w:marRight w:val="0"/>
              <w:marTop w:val="0"/>
              <w:marBottom w:val="0"/>
              <w:divBdr>
                <w:top w:val="none" w:sz="0" w:space="0" w:color="auto"/>
                <w:left w:val="none" w:sz="0" w:space="0" w:color="auto"/>
                <w:bottom w:val="none" w:sz="0" w:space="0" w:color="auto"/>
                <w:right w:val="none" w:sz="0" w:space="0" w:color="auto"/>
              </w:divBdr>
            </w:div>
            <w:div w:id="1248149942">
              <w:marLeft w:val="0"/>
              <w:marRight w:val="0"/>
              <w:marTop w:val="0"/>
              <w:marBottom w:val="0"/>
              <w:divBdr>
                <w:top w:val="none" w:sz="0" w:space="0" w:color="auto"/>
                <w:left w:val="none" w:sz="0" w:space="0" w:color="auto"/>
                <w:bottom w:val="none" w:sz="0" w:space="0" w:color="auto"/>
                <w:right w:val="none" w:sz="0" w:space="0" w:color="auto"/>
              </w:divBdr>
            </w:div>
            <w:div w:id="1959871864">
              <w:marLeft w:val="0"/>
              <w:marRight w:val="0"/>
              <w:marTop w:val="0"/>
              <w:marBottom w:val="0"/>
              <w:divBdr>
                <w:top w:val="none" w:sz="0" w:space="0" w:color="auto"/>
                <w:left w:val="none" w:sz="0" w:space="0" w:color="auto"/>
                <w:bottom w:val="none" w:sz="0" w:space="0" w:color="auto"/>
                <w:right w:val="none" w:sz="0" w:space="0" w:color="auto"/>
              </w:divBdr>
            </w:div>
            <w:div w:id="2009673314">
              <w:marLeft w:val="0"/>
              <w:marRight w:val="0"/>
              <w:marTop w:val="0"/>
              <w:marBottom w:val="0"/>
              <w:divBdr>
                <w:top w:val="none" w:sz="0" w:space="0" w:color="auto"/>
                <w:left w:val="none" w:sz="0" w:space="0" w:color="auto"/>
                <w:bottom w:val="none" w:sz="0" w:space="0" w:color="auto"/>
                <w:right w:val="none" w:sz="0" w:space="0" w:color="auto"/>
              </w:divBdr>
            </w:div>
            <w:div w:id="2053917496">
              <w:marLeft w:val="0"/>
              <w:marRight w:val="0"/>
              <w:marTop w:val="0"/>
              <w:marBottom w:val="0"/>
              <w:divBdr>
                <w:top w:val="none" w:sz="0" w:space="0" w:color="auto"/>
                <w:left w:val="none" w:sz="0" w:space="0" w:color="auto"/>
                <w:bottom w:val="none" w:sz="0" w:space="0" w:color="auto"/>
                <w:right w:val="none" w:sz="0" w:space="0" w:color="auto"/>
              </w:divBdr>
            </w:div>
            <w:div w:id="2109961035">
              <w:marLeft w:val="0"/>
              <w:marRight w:val="0"/>
              <w:marTop w:val="0"/>
              <w:marBottom w:val="0"/>
              <w:divBdr>
                <w:top w:val="none" w:sz="0" w:space="0" w:color="auto"/>
                <w:left w:val="none" w:sz="0" w:space="0" w:color="auto"/>
                <w:bottom w:val="none" w:sz="0" w:space="0" w:color="auto"/>
                <w:right w:val="none" w:sz="0" w:space="0" w:color="auto"/>
              </w:divBdr>
            </w:div>
          </w:divsChild>
        </w:div>
        <w:div w:id="1984383659">
          <w:marLeft w:val="0"/>
          <w:marRight w:val="0"/>
          <w:marTop w:val="0"/>
          <w:marBottom w:val="0"/>
          <w:divBdr>
            <w:top w:val="none" w:sz="0" w:space="0" w:color="auto"/>
            <w:left w:val="none" w:sz="0" w:space="0" w:color="auto"/>
            <w:bottom w:val="none" w:sz="0" w:space="0" w:color="auto"/>
            <w:right w:val="none" w:sz="0" w:space="0" w:color="auto"/>
          </w:divBdr>
          <w:divsChild>
            <w:div w:id="143670724">
              <w:marLeft w:val="0"/>
              <w:marRight w:val="0"/>
              <w:marTop w:val="0"/>
              <w:marBottom w:val="0"/>
              <w:divBdr>
                <w:top w:val="none" w:sz="0" w:space="0" w:color="auto"/>
                <w:left w:val="none" w:sz="0" w:space="0" w:color="auto"/>
                <w:bottom w:val="none" w:sz="0" w:space="0" w:color="auto"/>
                <w:right w:val="none" w:sz="0" w:space="0" w:color="auto"/>
              </w:divBdr>
            </w:div>
            <w:div w:id="231279914">
              <w:marLeft w:val="0"/>
              <w:marRight w:val="0"/>
              <w:marTop w:val="0"/>
              <w:marBottom w:val="0"/>
              <w:divBdr>
                <w:top w:val="none" w:sz="0" w:space="0" w:color="auto"/>
                <w:left w:val="none" w:sz="0" w:space="0" w:color="auto"/>
                <w:bottom w:val="none" w:sz="0" w:space="0" w:color="auto"/>
                <w:right w:val="none" w:sz="0" w:space="0" w:color="auto"/>
              </w:divBdr>
            </w:div>
            <w:div w:id="898246668">
              <w:marLeft w:val="0"/>
              <w:marRight w:val="0"/>
              <w:marTop w:val="0"/>
              <w:marBottom w:val="0"/>
              <w:divBdr>
                <w:top w:val="none" w:sz="0" w:space="0" w:color="auto"/>
                <w:left w:val="none" w:sz="0" w:space="0" w:color="auto"/>
                <w:bottom w:val="none" w:sz="0" w:space="0" w:color="auto"/>
                <w:right w:val="none" w:sz="0" w:space="0" w:color="auto"/>
              </w:divBdr>
            </w:div>
            <w:div w:id="988092730">
              <w:marLeft w:val="0"/>
              <w:marRight w:val="0"/>
              <w:marTop w:val="0"/>
              <w:marBottom w:val="0"/>
              <w:divBdr>
                <w:top w:val="none" w:sz="0" w:space="0" w:color="auto"/>
                <w:left w:val="none" w:sz="0" w:space="0" w:color="auto"/>
                <w:bottom w:val="none" w:sz="0" w:space="0" w:color="auto"/>
                <w:right w:val="none" w:sz="0" w:space="0" w:color="auto"/>
              </w:divBdr>
            </w:div>
            <w:div w:id="1128011929">
              <w:marLeft w:val="0"/>
              <w:marRight w:val="0"/>
              <w:marTop w:val="0"/>
              <w:marBottom w:val="0"/>
              <w:divBdr>
                <w:top w:val="none" w:sz="0" w:space="0" w:color="auto"/>
                <w:left w:val="none" w:sz="0" w:space="0" w:color="auto"/>
                <w:bottom w:val="none" w:sz="0" w:space="0" w:color="auto"/>
                <w:right w:val="none" w:sz="0" w:space="0" w:color="auto"/>
              </w:divBdr>
            </w:div>
            <w:div w:id="115155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4042">
      <w:bodyDiv w:val="1"/>
      <w:marLeft w:val="0"/>
      <w:marRight w:val="0"/>
      <w:marTop w:val="0"/>
      <w:marBottom w:val="0"/>
      <w:divBdr>
        <w:top w:val="none" w:sz="0" w:space="0" w:color="auto"/>
        <w:left w:val="none" w:sz="0" w:space="0" w:color="auto"/>
        <w:bottom w:val="none" w:sz="0" w:space="0" w:color="auto"/>
        <w:right w:val="none" w:sz="0" w:space="0" w:color="auto"/>
      </w:divBdr>
    </w:div>
    <w:div w:id="928733341">
      <w:bodyDiv w:val="1"/>
      <w:marLeft w:val="0"/>
      <w:marRight w:val="0"/>
      <w:marTop w:val="0"/>
      <w:marBottom w:val="0"/>
      <w:divBdr>
        <w:top w:val="none" w:sz="0" w:space="0" w:color="auto"/>
        <w:left w:val="none" w:sz="0" w:space="0" w:color="auto"/>
        <w:bottom w:val="none" w:sz="0" w:space="0" w:color="auto"/>
        <w:right w:val="none" w:sz="0" w:space="0" w:color="auto"/>
      </w:divBdr>
    </w:div>
    <w:div w:id="947543591">
      <w:bodyDiv w:val="1"/>
      <w:marLeft w:val="0"/>
      <w:marRight w:val="0"/>
      <w:marTop w:val="0"/>
      <w:marBottom w:val="0"/>
      <w:divBdr>
        <w:top w:val="none" w:sz="0" w:space="0" w:color="auto"/>
        <w:left w:val="none" w:sz="0" w:space="0" w:color="auto"/>
        <w:bottom w:val="none" w:sz="0" w:space="0" w:color="auto"/>
        <w:right w:val="none" w:sz="0" w:space="0" w:color="auto"/>
      </w:divBdr>
    </w:div>
    <w:div w:id="1125390466">
      <w:bodyDiv w:val="1"/>
      <w:marLeft w:val="0"/>
      <w:marRight w:val="0"/>
      <w:marTop w:val="0"/>
      <w:marBottom w:val="0"/>
      <w:divBdr>
        <w:top w:val="none" w:sz="0" w:space="0" w:color="auto"/>
        <w:left w:val="none" w:sz="0" w:space="0" w:color="auto"/>
        <w:bottom w:val="none" w:sz="0" w:space="0" w:color="auto"/>
        <w:right w:val="none" w:sz="0" w:space="0" w:color="auto"/>
      </w:divBdr>
    </w:div>
    <w:div w:id="1501311209">
      <w:bodyDiv w:val="1"/>
      <w:marLeft w:val="0"/>
      <w:marRight w:val="0"/>
      <w:marTop w:val="0"/>
      <w:marBottom w:val="0"/>
      <w:divBdr>
        <w:top w:val="none" w:sz="0" w:space="0" w:color="auto"/>
        <w:left w:val="none" w:sz="0" w:space="0" w:color="auto"/>
        <w:bottom w:val="none" w:sz="0" w:space="0" w:color="auto"/>
        <w:right w:val="none" w:sz="0" w:space="0" w:color="auto"/>
      </w:divBdr>
    </w:div>
    <w:div w:id="1631857328">
      <w:bodyDiv w:val="1"/>
      <w:marLeft w:val="0"/>
      <w:marRight w:val="0"/>
      <w:marTop w:val="0"/>
      <w:marBottom w:val="0"/>
      <w:divBdr>
        <w:top w:val="none" w:sz="0" w:space="0" w:color="auto"/>
        <w:left w:val="none" w:sz="0" w:space="0" w:color="auto"/>
        <w:bottom w:val="none" w:sz="0" w:space="0" w:color="auto"/>
        <w:right w:val="none" w:sz="0" w:space="0" w:color="auto"/>
      </w:divBdr>
    </w:div>
    <w:div w:id="1791245994">
      <w:bodyDiv w:val="1"/>
      <w:marLeft w:val="0"/>
      <w:marRight w:val="0"/>
      <w:marTop w:val="0"/>
      <w:marBottom w:val="0"/>
      <w:divBdr>
        <w:top w:val="none" w:sz="0" w:space="0" w:color="auto"/>
        <w:left w:val="none" w:sz="0" w:space="0" w:color="auto"/>
        <w:bottom w:val="none" w:sz="0" w:space="0" w:color="auto"/>
        <w:right w:val="none" w:sz="0" w:space="0" w:color="auto"/>
      </w:divBdr>
    </w:div>
    <w:div w:id="1888759750">
      <w:bodyDiv w:val="1"/>
      <w:marLeft w:val="0"/>
      <w:marRight w:val="0"/>
      <w:marTop w:val="0"/>
      <w:marBottom w:val="0"/>
      <w:divBdr>
        <w:top w:val="none" w:sz="0" w:space="0" w:color="auto"/>
        <w:left w:val="none" w:sz="0" w:space="0" w:color="auto"/>
        <w:bottom w:val="none" w:sz="0" w:space="0" w:color="auto"/>
        <w:right w:val="none" w:sz="0" w:space="0" w:color="auto"/>
      </w:divBdr>
    </w:div>
    <w:div w:id="200396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967DD-EEF2-44F0-828C-F4EB93F6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34</Pages>
  <Words>11447</Words>
  <Characters>59706</Characters>
  <Application>Microsoft Office Word</Application>
  <DocSecurity>0</DocSecurity>
  <Lines>1292</Lines>
  <Paragraphs>392</Paragraphs>
  <ScaleCrop>false</ScaleCrop>
  <Company>Hewlett-Packard Company</Company>
  <LinksUpToDate>false</LinksUpToDate>
  <CharactersWithSpaces>71031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subhasish</dc:creator>
  <cp:keywords/>
  <cp:lastModifiedBy>KAUSTAV  DUTTA</cp:lastModifiedBy>
  <cp:revision>1133</cp:revision>
  <cp:lastPrinted>2020-12-24T23:12:00Z</cp:lastPrinted>
  <dcterms:created xsi:type="dcterms:W3CDTF">2024-04-22T07:19:00Z</dcterms:created>
  <dcterms:modified xsi:type="dcterms:W3CDTF">2025-11-30T16:25:00Z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2024-04-20T17:49:33Z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cf94827a-bc3d-4b63-8feb-432960d2d81b</vt:lpwstr>
  </property>
  <property fmtid="{D5CDD505-2E9C-101B-9397-08002B2CF9AE}" pid="7" name="MSIP_Label_defa4170-0d19-0005-0004-bc88714345d2_ActionId">
    <vt:lpwstr>aa89af0f-26d0-4429-a2fe-0f015f47156a</vt:lpwstr>
  </property>
  <property fmtid="{D5CDD505-2E9C-101B-9397-08002B2CF9AE}" pid="8" name="MSIP_Label_defa4170-0d19-0005-0004-bc88714345d2_ContentBits">
    <vt:lpwstr>0</vt:lpwstr>
  </property>
</Properties>
</file>